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9C" w:rsidRDefault="003346B0" w:rsidP="0091439C">
      <w:pPr>
        <w:spacing w:line="440" w:lineRule="exact"/>
        <w:jc w:val="center"/>
        <w:rPr>
          <w:rFonts w:ascii="標楷體" w:eastAsia="標楷體" w:hAnsi="標楷體"/>
          <w:b/>
          <w:sz w:val="32"/>
          <w:szCs w:val="32"/>
        </w:rPr>
      </w:pPr>
      <w:r w:rsidRPr="001B01F3">
        <w:rPr>
          <w:rFonts w:ascii="標楷體" w:eastAsia="標楷體" w:hAnsi="標楷體" w:hint="eastAsia"/>
          <w:b/>
          <w:sz w:val="32"/>
          <w:szCs w:val="32"/>
        </w:rPr>
        <w:t>保險業防制洗錢及打擊</w:t>
      </w:r>
      <w:proofErr w:type="gramStart"/>
      <w:r w:rsidRPr="001B01F3">
        <w:rPr>
          <w:rFonts w:ascii="標楷體" w:eastAsia="標楷體" w:hAnsi="標楷體" w:hint="eastAsia"/>
          <w:b/>
          <w:sz w:val="32"/>
          <w:szCs w:val="32"/>
        </w:rPr>
        <w:t>資恐最佳</w:t>
      </w:r>
      <w:proofErr w:type="gramEnd"/>
      <w:r w:rsidRPr="001B01F3">
        <w:rPr>
          <w:rFonts w:ascii="標楷體" w:eastAsia="標楷體" w:hAnsi="標楷體" w:hint="eastAsia"/>
          <w:b/>
          <w:sz w:val="32"/>
          <w:szCs w:val="32"/>
        </w:rPr>
        <w:t>實務指引</w:t>
      </w:r>
    </w:p>
    <w:p w:rsidR="00480596" w:rsidRDefault="00480596" w:rsidP="0091439C">
      <w:pPr>
        <w:spacing w:line="440" w:lineRule="exact"/>
        <w:jc w:val="center"/>
        <w:rPr>
          <w:rFonts w:ascii="標楷體" w:eastAsia="標楷體" w:hAnsi="標楷體"/>
          <w:b/>
          <w:sz w:val="32"/>
          <w:szCs w:val="32"/>
        </w:rPr>
      </w:pPr>
      <w:bookmarkStart w:id="0" w:name="_GoBack"/>
      <w:r w:rsidRPr="00480596">
        <w:rPr>
          <w:rFonts w:ascii="標楷體" w:eastAsia="標楷體" w:hAnsi="標楷體" w:hint="eastAsia"/>
          <w:b/>
          <w:sz w:val="32"/>
          <w:szCs w:val="32"/>
        </w:rPr>
        <w:t>(主題：OIU業務之洗錢</w:t>
      </w:r>
      <w:proofErr w:type="gramStart"/>
      <w:r w:rsidRPr="00480596">
        <w:rPr>
          <w:rFonts w:ascii="標楷體" w:eastAsia="標楷體" w:hAnsi="標楷體" w:hint="eastAsia"/>
          <w:b/>
          <w:sz w:val="32"/>
          <w:szCs w:val="32"/>
        </w:rPr>
        <w:t>及資恐風險</w:t>
      </w:r>
      <w:proofErr w:type="gramEnd"/>
      <w:r w:rsidRPr="00480596">
        <w:rPr>
          <w:rFonts w:ascii="標楷體" w:eastAsia="標楷體" w:hAnsi="標楷體" w:hint="eastAsia"/>
          <w:b/>
          <w:sz w:val="32"/>
          <w:szCs w:val="32"/>
        </w:rPr>
        <w:t>管理（不含再保險業務）)</w:t>
      </w:r>
      <w:bookmarkEnd w:id="0"/>
    </w:p>
    <w:p w:rsidR="0091439C" w:rsidRPr="0091439C" w:rsidRDefault="0091439C" w:rsidP="0091439C">
      <w:pPr>
        <w:spacing w:line="440" w:lineRule="exact"/>
        <w:jc w:val="right"/>
        <w:rPr>
          <w:rFonts w:ascii="標楷體" w:eastAsia="標楷體" w:hAnsi="標楷體"/>
          <w:sz w:val="18"/>
          <w:szCs w:val="18"/>
        </w:rPr>
      </w:pPr>
      <w:r w:rsidRPr="0091439C">
        <w:rPr>
          <w:rFonts w:ascii="標楷體" w:eastAsia="標楷體" w:hAnsi="標楷體" w:hint="eastAsia"/>
          <w:sz w:val="18"/>
          <w:szCs w:val="18"/>
        </w:rPr>
        <w:t>108年</w:t>
      </w:r>
      <w:r w:rsidR="00480596">
        <w:rPr>
          <w:rFonts w:ascii="標楷體" w:eastAsia="標楷體" w:hAnsi="標楷體" w:hint="eastAsia"/>
          <w:sz w:val="18"/>
          <w:szCs w:val="18"/>
        </w:rPr>
        <w:t>6</w:t>
      </w:r>
      <w:r w:rsidRPr="0091439C">
        <w:rPr>
          <w:rFonts w:ascii="標楷體" w:eastAsia="標楷體" w:hAnsi="標楷體" w:hint="eastAsia"/>
          <w:sz w:val="18"/>
          <w:szCs w:val="18"/>
        </w:rPr>
        <w:t>月2</w:t>
      </w:r>
      <w:r w:rsidR="00480596">
        <w:rPr>
          <w:rFonts w:ascii="標楷體" w:eastAsia="標楷體" w:hAnsi="標楷體" w:hint="eastAsia"/>
          <w:sz w:val="18"/>
          <w:szCs w:val="18"/>
        </w:rPr>
        <w:t>4</w:t>
      </w:r>
      <w:r w:rsidRPr="0091439C">
        <w:rPr>
          <w:rFonts w:ascii="標楷體" w:eastAsia="標楷體" w:hAnsi="標楷體" w:hint="eastAsia"/>
          <w:sz w:val="18"/>
          <w:szCs w:val="18"/>
        </w:rPr>
        <w:t>日金</w:t>
      </w:r>
      <w:proofErr w:type="gramStart"/>
      <w:r w:rsidRPr="0091439C">
        <w:rPr>
          <w:rFonts w:ascii="標楷體" w:eastAsia="標楷體" w:hAnsi="標楷體" w:hint="eastAsia"/>
          <w:sz w:val="18"/>
          <w:szCs w:val="18"/>
        </w:rPr>
        <w:t>管保綜字第</w:t>
      </w:r>
      <w:r w:rsidR="00480596">
        <w:rPr>
          <w:rFonts w:ascii="標楷體" w:eastAsia="標楷體" w:hAnsi="標楷體" w:hint="eastAsia"/>
          <w:sz w:val="18"/>
          <w:szCs w:val="18"/>
        </w:rPr>
        <w:t>10804930210</w:t>
      </w:r>
      <w:r w:rsidRPr="0091439C">
        <w:rPr>
          <w:rFonts w:ascii="標楷體" w:eastAsia="標楷體" w:hAnsi="標楷體" w:hint="eastAsia"/>
          <w:sz w:val="18"/>
          <w:szCs w:val="18"/>
        </w:rPr>
        <w:t>號</w:t>
      </w:r>
      <w:proofErr w:type="gramEnd"/>
      <w:r>
        <w:rPr>
          <w:rFonts w:ascii="標楷體" w:eastAsia="標楷體" w:hAnsi="標楷體" w:hint="eastAsia"/>
          <w:sz w:val="18"/>
          <w:szCs w:val="18"/>
        </w:rPr>
        <w:t>函同意備查</w:t>
      </w:r>
      <w:r w:rsidRPr="0091439C">
        <w:rPr>
          <w:rFonts w:ascii="標楷體" w:eastAsia="標楷體" w:hAnsi="標楷體"/>
          <w:b/>
          <w:noProof/>
          <w:sz w:val="18"/>
          <w:szCs w:val="18"/>
        </w:rPr>
        <mc:AlternateContent>
          <mc:Choice Requires="wps">
            <w:drawing>
              <wp:anchor distT="45720" distB="45720" distL="114300" distR="114300" simplePos="0" relativeHeight="251658752" behindDoc="0" locked="0" layoutInCell="1" allowOverlap="1" wp14:anchorId="19AA9774" wp14:editId="4080EDEB">
                <wp:simplePos x="0" y="0"/>
                <wp:positionH relativeFrom="margin">
                  <wp:posOffset>-2540</wp:posOffset>
                </wp:positionH>
                <wp:positionV relativeFrom="paragraph">
                  <wp:posOffset>353060</wp:posOffset>
                </wp:positionV>
                <wp:extent cx="5263515" cy="1409700"/>
                <wp:effectExtent l="0" t="0" r="1333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9700"/>
                        </a:xfrm>
                        <a:prstGeom prst="rect">
                          <a:avLst/>
                        </a:prstGeom>
                        <a:solidFill>
                          <a:srgbClr val="FFFFFF"/>
                        </a:solidFill>
                        <a:ln w="9525">
                          <a:solidFill>
                            <a:srgbClr val="000000"/>
                          </a:solidFill>
                          <a:miter lim="800000"/>
                          <a:headEnd/>
                          <a:tailEnd/>
                        </a:ln>
                      </wps:spPr>
                      <wps:txbx>
                        <w:txbxContent>
                          <w:p w:rsidR="003346B0" w:rsidRPr="0009571D" w:rsidRDefault="003346B0" w:rsidP="003346B0">
                            <w:pPr>
                              <w:spacing w:line="400" w:lineRule="exact"/>
                              <w:rPr>
                                <w:rFonts w:ascii="標楷體" w:eastAsia="標楷體" w:hAnsi="標楷體"/>
                                <w:b/>
                                <w:sz w:val="28"/>
                                <w:szCs w:val="28"/>
                              </w:rPr>
                            </w:pPr>
                            <w:r w:rsidRPr="00547126">
                              <w:rPr>
                                <w:rFonts w:ascii="標楷體" w:eastAsia="標楷體" w:hAnsi="標楷體" w:hint="eastAsia"/>
                                <w:b/>
                                <w:sz w:val="28"/>
                                <w:szCs w:val="28"/>
                              </w:rPr>
                              <w:t>前言：</w:t>
                            </w:r>
                          </w:p>
                          <w:p w:rsidR="003346B0" w:rsidRPr="00547126" w:rsidRDefault="003346B0" w:rsidP="003346B0">
                            <w:pPr>
                              <w:spacing w:line="400" w:lineRule="exact"/>
                              <w:jc w:val="both"/>
                              <w:rPr>
                                <w:rFonts w:ascii="標楷體" w:eastAsia="標楷體" w:hAnsi="標楷體"/>
                                <w:sz w:val="28"/>
                                <w:szCs w:val="28"/>
                              </w:rPr>
                            </w:pPr>
                            <w:r w:rsidRPr="0009571D">
                              <w:rPr>
                                <w:rFonts w:ascii="標楷體" w:eastAsia="標楷體" w:hAnsi="標楷體" w:hint="eastAsia"/>
                                <w:sz w:val="28"/>
                                <w:szCs w:val="28"/>
                              </w:rPr>
                              <w:t>本最佳實務指引係供保險業辦理防制洗錢及</w:t>
                            </w:r>
                            <w:proofErr w:type="gramStart"/>
                            <w:r w:rsidRPr="0009571D">
                              <w:rPr>
                                <w:rFonts w:ascii="標楷體" w:eastAsia="標楷體" w:hAnsi="標楷體" w:hint="eastAsia"/>
                                <w:sz w:val="28"/>
                                <w:szCs w:val="28"/>
                              </w:rPr>
                              <w:t>打擊資恐作業</w:t>
                            </w:r>
                            <w:proofErr w:type="gramEnd"/>
                            <w:r w:rsidRPr="0009571D">
                              <w:rPr>
                                <w:rFonts w:ascii="標楷體" w:eastAsia="標楷體" w:hAnsi="標楷體" w:hint="eastAsia"/>
                                <w:sz w:val="28"/>
                                <w:szCs w:val="28"/>
                              </w:rPr>
                              <w:t>時參考，並非強制性規範，保險業得依其業務性質及規模，並考量其地域、客戶、產品及服務、交易及通路等面向之風險評估結果，</w:t>
                            </w:r>
                            <w:r>
                              <w:rPr>
                                <w:rFonts w:ascii="標楷體" w:eastAsia="標楷體" w:hAnsi="標楷體" w:hint="eastAsia"/>
                                <w:sz w:val="28"/>
                                <w:szCs w:val="28"/>
                              </w:rPr>
                              <w:t>選擇</w:t>
                            </w:r>
                            <w:r w:rsidRPr="0009571D">
                              <w:rPr>
                                <w:rFonts w:ascii="標楷體" w:eastAsia="標楷體" w:hAnsi="標楷體" w:hint="eastAsia"/>
                                <w:sz w:val="28"/>
                                <w:szCs w:val="28"/>
                              </w:rPr>
                              <w:t>採取適用之最佳實務作業，以預防或降低洗錢</w:t>
                            </w:r>
                            <w:proofErr w:type="gramStart"/>
                            <w:r w:rsidRPr="0009571D">
                              <w:rPr>
                                <w:rFonts w:ascii="標楷體" w:eastAsia="標楷體" w:hAnsi="標楷體" w:hint="eastAsia"/>
                                <w:sz w:val="28"/>
                                <w:szCs w:val="28"/>
                              </w:rPr>
                              <w:t>及資恐風險</w:t>
                            </w:r>
                            <w:proofErr w:type="gramEnd"/>
                            <w:r w:rsidRPr="0009571D">
                              <w:rPr>
                                <w:rFonts w:ascii="標楷體" w:eastAsia="標楷體" w:hAnsi="標楷體"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AA9774" id="_x0000_t202" coordsize="21600,21600" o:spt="202" path="m,l,21600r21600,l21600,xe">
                <v:stroke joinstyle="miter"/>
                <v:path gradientshapeok="t" o:connecttype="rect"/>
              </v:shapetype>
              <v:shape id="文字方塊 2" o:spid="_x0000_s1026" type="#_x0000_t202" style="position:absolute;left:0;text-align:left;margin-left:-.2pt;margin-top:27.8pt;width:414.45pt;height:11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">
                <v:textbox>
                  <w:txbxContent>
                    <w:p w:rsidR="003346B0" w:rsidRPr="0009571D" w:rsidRDefault="003346B0" w:rsidP="003346B0">
                      <w:pPr>
                        <w:spacing w:line="400" w:lineRule="exact"/>
                        <w:rPr>
                          <w:rFonts w:ascii="標楷體" w:eastAsia="標楷體" w:hAnsi="標楷體"/>
                          <w:b/>
                          <w:sz w:val="28"/>
                          <w:szCs w:val="28"/>
                        </w:rPr>
                      </w:pPr>
                      <w:r w:rsidRPr="00547126">
                        <w:rPr>
                          <w:rFonts w:ascii="標楷體" w:eastAsia="標楷體" w:hAnsi="標楷體" w:hint="eastAsia"/>
                          <w:b/>
                          <w:sz w:val="28"/>
                          <w:szCs w:val="28"/>
                        </w:rPr>
                        <w:t>前言：</w:t>
                      </w:r>
                    </w:p>
                    <w:p w:rsidR="003346B0" w:rsidRPr="00547126" w:rsidRDefault="003346B0" w:rsidP="003346B0">
                      <w:pPr>
                        <w:spacing w:line="400" w:lineRule="exact"/>
                        <w:jc w:val="both"/>
                        <w:rPr>
                          <w:rFonts w:ascii="標楷體" w:eastAsia="標楷體" w:hAnsi="標楷體"/>
                          <w:sz w:val="28"/>
                          <w:szCs w:val="28"/>
                        </w:rPr>
                      </w:pPr>
                      <w:r w:rsidRPr="0009571D">
                        <w:rPr>
                          <w:rFonts w:ascii="標楷體" w:eastAsia="標楷體" w:hAnsi="標楷體" w:hint="eastAsia"/>
                          <w:sz w:val="28"/>
                          <w:szCs w:val="28"/>
                        </w:rPr>
                        <w:t>本最佳實務指引係供保險業辦理防制洗錢及</w:t>
                      </w:r>
                      <w:proofErr w:type="gramStart"/>
                      <w:r w:rsidRPr="0009571D">
                        <w:rPr>
                          <w:rFonts w:ascii="標楷體" w:eastAsia="標楷體" w:hAnsi="標楷體" w:hint="eastAsia"/>
                          <w:sz w:val="28"/>
                          <w:szCs w:val="28"/>
                        </w:rPr>
                        <w:t>打擊資恐作業</w:t>
                      </w:r>
                      <w:proofErr w:type="gramEnd"/>
                      <w:r w:rsidRPr="0009571D">
                        <w:rPr>
                          <w:rFonts w:ascii="標楷體" w:eastAsia="標楷體" w:hAnsi="標楷體" w:hint="eastAsia"/>
                          <w:sz w:val="28"/>
                          <w:szCs w:val="28"/>
                        </w:rPr>
                        <w:t>時參考，並非強制性規範，保險業得依其業務性質及規模，並考量其地域、客戶、產品及服務、交易及通路等面向之風險評估結果，</w:t>
                      </w:r>
                      <w:r>
                        <w:rPr>
                          <w:rFonts w:ascii="標楷體" w:eastAsia="標楷體" w:hAnsi="標楷體" w:hint="eastAsia"/>
                          <w:sz w:val="28"/>
                          <w:szCs w:val="28"/>
                        </w:rPr>
                        <w:t>選擇</w:t>
                      </w:r>
                      <w:r w:rsidRPr="0009571D">
                        <w:rPr>
                          <w:rFonts w:ascii="標楷體" w:eastAsia="標楷體" w:hAnsi="標楷體" w:hint="eastAsia"/>
                          <w:sz w:val="28"/>
                          <w:szCs w:val="28"/>
                        </w:rPr>
                        <w:t>採取適用之最佳實務作業，以預防或降低洗錢</w:t>
                      </w:r>
                      <w:proofErr w:type="gramStart"/>
                      <w:r w:rsidRPr="0009571D">
                        <w:rPr>
                          <w:rFonts w:ascii="標楷體" w:eastAsia="標楷體" w:hAnsi="標楷體" w:hint="eastAsia"/>
                          <w:sz w:val="28"/>
                          <w:szCs w:val="28"/>
                        </w:rPr>
                        <w:t>及資恐風險</w:t>
                      </w:r>
                      <w:proofErr w:type="gramEnd"/>
                      <w:r w:rsidRPr="0009571D">
                        <w:rPr>
                          <w:rFonts w:ascii="標楷體" w:eastAsia="標楷體" w:hAnsi="標楷體" w:hint="eastAsia"/>
                          <w:sz w:val="28"/>
                          <w:szCs w:val="28"/>
                        </w:rPr>
                        <w:t>。</w:t>
                      </w:r>
                    </w:p>
                  </w:txbxContent>
                </v:textbox>
                <w10:wrap type="square" anchorx="margin"/>
              </v:shape>
            </w:pict>
          </mc:Fallback>
        </mc:AlternateContent>
      </w:r>
    </w:p>
    <w:p w:rsidR="008B58C4" w:rsidRPr="00480596" w:rsidRDefault="00480596" w:rsidP="00480596">
      <w:pPr>
        <w:spacing w:line="400" w:lineRule="exact"/>
        <w:rPr>
          <w:rFonts w:ascii="標楷體" w:eastAsia="標楷體" w:hAnsi="標楷體"/>
          <w:b/>
          <w:bCs/>
          <w:sz w:val="28"/>
          <w:szCs w:val="28"/>
        </w:rPr>
      </w:pPr>
      <w:r w:rsidRPr="00480596">
        <w:rPr>
          <w:rFonts w:ascii="標楷體" w:eastAsia="標楷體" w:hAnsi="標楷體" w:hint="eastAsia"/>
          <w:b/>
          <w:bCs/>
          <w:sz w:val="28"/>
          <w:szCs w:val="28"/>
        </w:rPr>
        <w:t>OIU業務之洗錢</w:t>
      </w:r>
      <w:proofErr w:type="gramStart"/>
      <w:r w:rsidRPr="00480596">
        <w:rPr>
          <w:rFonts w:ascii="標楷體" w:eastAsia="標楷體" w:hAnsi="標楷體" w:hint="eastAsia"/>
          <w:b/>
          <w:bCs/>
          <w:sz w:val="28"/>
          <w:szCs w:val="28"/>
        </w:rPr>
        <w:t>及資恐風險</w:t>
      </w:r>
      <w:proofErr w:type="gramEnd"/>
      <w:r w:rsidRPr="00480596">
        <w:rPr>
          <w:rFonts w:ascii="標楷體" w:eastAsia="標楷體" w:hAnsi="標楷體" w:hint="eastAsia"/>
          <w:b/>
          <w:bCs/>
          <w:sz w:val="28"/>
          <w:szCs w:val="28"/>
        </w:rPr>
        <w:t>管理（不含再保險業務）</w:t>
      </w:r>
    </w:p>
    <w:p w:rsidR="00480596" w:rsidRPr="00480596" w:rsidRDefault="00480596" w:rsidP="00480596">
      <w:pPr>
        <w:pStyle w:val="a3"/>
        <w:numPr>
          <w:ilvl w:val="0"/>
          <w:numId w:val="14"/>
        </w:numPr>
        <w:spacing w:line="400" w:lineRule="exact"/>
        <w:ind w:leftChars="0" w:left="567" w:hanging="566"/>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OIU經營業務概況</w:t>
      </w:r>
    </w:p>
    <w:p w:rsidR="00480596" w:rsidRPr="00480596" w:rsidRDefault="00480596" w:rsidP="00480596">
      <w:pPr>
        <w:pStyle w:val="a3"/>
        <w:spacing w:line="400" w:lineRule="exact"/>
        <w:ind w:leftChars="0" w:left="567"/>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自</w:t>
      </w:r>
      <w:r w:rsidRPr="00480596">
        <w:rPr>
          <w:rFonts w:ascii="標楷體" w:eastAsia="標楷體" w:hAnsi="標楷體"/>
          <w:bCs/>
          <w:color w:val="000000" w:themeColor="text1"/>
          <w:sz w:val="28"/>
          <w:szCs w:val="28"/>
        </w:rPr>
        <w:t>2015</w:t>
      </w:r>
      <w:r w:rsidRPr="00480596">
        <w:rPr>
          <w:rFonts w:ascii="標楷體" w:eastAsia="標楷體" w:hAnsi="標楷體" w:hint="eastAsia"/>
          <w:bCs/>
          <w:color w:val="000000" w:themeColor="text1"/>
          <w:sz w:val="28"/>
          <w:szCs w:val="28"/>
        </w:rPr>
        <w:t>年</w:t>
      </w:r>
      <w:r w:rsidRPr="00480596">
        <w:rPr>
          <w:rFonts w:ascii="標楷體" w:eastAsia="標楷體" w:hAnsi="標楷體"/>
          <w:bCs/>
          <w:color w:val="000000" w:themeColor="text1"/>
          <w:sz w:val="28"/>
          <w:szCs w:val="28"/>
        </w:rPr>
        <w:t>6</w:t>
      </w:r>
      <w:r w:rsidRPr="00480596">
        <w:rPr>
          <w:rFonts w:ascii="標楷體" w:eastAsia="標楷體" w:hAnsi="標楷體" w:hint="eastAsia"/>
          <w:bCs/>
          <w:color w:val="000000" w:themeColor="text1"/>
          <w:sz w:val="28"/>
          <w:szCs w:val="28"/>
        </w:rPr>
        <w:t>月起各家保險公司陸續奉金管會核准開辦國際保險業務分公司</w:t>
      </w:r>
      <w:r w:rsidRPr="00480596">
        <w:rPr>
          <w:rFonts w:ascii="標楷體" w:eastAsia="標楷體" w:hAnsi="標楷體"/>
          <w:bCs/>
          <w:color w:val="000000" w:themeColor="text1"/>
          <w:sz w:val="28"/>
          <w:szCs w:val="28"/>
        </w:rPr>
        <w:t>(OIU)</w:t>
      </w:r>
      <w:r w:rsidRPr="00480596">
        <w:rPr>
          <w:rFonts w:ascii="標楷體" w:eastAsia="標楷體" w:hAnsi="標楷體" w:hint="eastAsia"/>
          <w:bCs/>
          <w:color w:val="000000" w:themeColor="text1"/>
          <w:sz w:val="28"/>
          <w:szCs w:val="28"/>
        </w:rPr>
        <w:t>業務，相較於保險公司其他傳統保險業務設立時間較短，且要保人及被保險人限於境外客戶，其銷售客源受侷限，因此整體經營規模較小；據國家洗錢</w:t>
      </w:r>
      <w:proofErr w:type="gramStart"/>
      <w:r w:rsidRPr="00480596">
        <w:rPr>
          <w:rFonts w:ascii="標楷體" w:eastAsia="標楷體" w:hAnsi="標楷體" w:hint="eastAsia"/>
          <w:bCs/>
          <w:color w:val="000000" w:themeColor="text1"/>
          <w:sz w:val="28"/>
          <w:szCs w:val="28"/>
        </w:rPr>
        <w:t>及資恐風險</w:t>
      </w:r>
      <w:proofErr w:type="gramEnd"/>
      <w:r w:rsidRPr="00480596">
        <w:rPr>
          <w:rFonts w:ascii="標楷體" w:eastAsia="標楷體" w:hAnsi="標楷體" w:hint="eastAsia"/>
          <w:bCs/>
          <w:color w:val="000000" w:themeColor="text1"/>
          <w:sz w:val="28"/>
          <w:szCs w:val="28"/>
        </w:rPr>
        <w:t>評估報告指出</w:t>
      </w:r>
      <w:r w:rsidRPr="00480596">
        <w:rPr>
          <w:rFonts w:ascii="標楷體" w:eastAsia="標楷體" w:hAnsi="標楷體"/>
          <w:bCs/>
          <w:color w:val="000000" w:themeColor="text1"/>
          <w:sz w:val="28"/>
          <w:szCs w:val="28"/>
        </w:rPr>
        <w:t>OIU</w:t>
      </w:r>
      <w:r w:rsidRPr="00480596">
        <w:rPr>
          <w:rFonts w:ascii="標楷體" w:eastAsia="標楷體" w:hAnsi="標楷體" w:hint="eastAsia"/>
          <w:bCs/>
          <w:color w:val="000000" w:themeColor="text1"/>
          <w:sz w:val="28"/>
          <w:szCs w:val="28"/>
        </w:rPr>
        <w:t>保費收入相較整體保費收入占比甚微，且OIU客戶數量相較本國客戶數量之</w:t>
      </w:r>
      <w:proofErr w:type="gramStart"/>
      <w:r w:rsidRPr="00480596">
        <w:rPr>
          <w:rFonts w:ascii="標楷體" w:eastAsia="標楷體" w:hAnsi="標楷體" w:hint="eastAsia"/>
          <w:bCs/>
          <w:color w:val="000000" w:themeColor="text1"/>
          <w:sz w:val="28"/>
          <w:szCs w:val="28"/>
        </w:rPr>
        <w:t>占比極少</w:t>
      </w:r>
      <w:proofErr w:type="gramEnd"/>
      <w:r w:rsidRPr="00480596">
        <w:rPr>
          <w:rFonts w:ascii="標楷體" w:eastAsia="標楷體" w:hAnsi="標楷體" w:hint="eastAsia"/>
          <w:bCs/>
          <w:color w:val="000000" w:themeColor="text1"/>
          <w:sz w:val="28"/>
          <w:szCs w:val="28"/>
        </w:rPr>
        <w:t>。</w:t>
      </w:r>
    </w:p>
    <w:p w:rsidR="00480596" w:rsidRPr="00480596" w:rsidRDefault="00480596" w:rsidP="00480596">
      <w:pPr>
        <w:pStyle w:val="a3"/>
        <w:numPr>
          <w:ilvl w:val="0"/>
          <w:numId w:val="14"/>
        </w:numPr>
        <w:spacing w:line="400" w:lineRule="exact"/>
        <w:ind w:leftChars="0" w:left="567" w:hanging="566"/>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OIU洗錢風險辨識</w:t>
      </w:r>
    </w:p>
    <w:p w:rsidR="00480596" w:rsidRPr="00480596" w:rsidRDefault="00480596" w:rsidP="00480596">
      <w:pPr>
        <w:spacing w:line="400" w:lineRule="exact"/>
        <w:ind w:left="567"/>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因</w:t>
      </w:r>
      <w:r w:rsidRPr="00480596">
        <w:rPr>
          <w:rFonts w:ascii="標楷體" w:eastAsia="標楷體" w:hAnsi="標楷體"/>
          <w:bCs/>
          <w:color w:val="000000" w:themeColor="text1"/>
          <w:sz w:val="28"/>
          <w:szCs w:val="28"/>
        </w:rPr>
        <w:t>OIU</w:t>
      </w:r>
      <w:r w:rsidRPr="00480596">
        <w:rPr>
          <w:rFonts w:ascii="標楷體" w:eastAsia="標楷體" w:hAnsi="標楷體" w:hint="eastAsia"/>
          <w:bCs/>
          <w:color w:val="000000" w:themeColor="text1"/>
          <w:sz w:val="28"/>
          <w:szCs w:val="28"/>
        </w:rPr>
        <w:t>業務係以外幣收付，並以境外客戶(包括：中華民國境外個人、法人、政府機關或金融機構</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為銷售對象，且現行</w:t>
      </w:r>
      <w:r w:rsidRPr="00480596">
        <w:rPr>
          <w:rFonts w:ascii="標楷體" w:eastAsia="標楷體" w:hAnsi="標楷體"/>
          <w:bCs/>
          <w:color w:val="000000" w:themeColor="text1"/>
          <w:sz w:val="28"/>
          <w:szCs w:val="28"/>
        </w:rPr>
        <w:t>OIU業務所提供之保險商品</w:t>
      </w:r>
      <w:r w:rsidRPr="00480596">
        <w:rPr>
          <w:rFonts w:ascii="標楷體" w:eastAsia="標楷體" w:hAnsi="標楷體" w:hint="eastAsia"/>
          <w:bCs/>
          <w:color w:val="000000" w:themeColor="text1"/>
          <w:sz w:val="28"/>
          <w:szCs w:val="28"/>
        </w:rPr>
        <w:t>屬</w:t>
      </w:r>
      <w:r w:rsidRPr="00480596">
        <w:rPr>
          <w:rFonts w:ascii="標楷體" w:eastAsia="標楷體" w:hAnsi="標楷體"/>
          <w:bCs/>
          <w:color w:val="000000" w:themeColor="text1"/>
          <w:sz w:val="28"/>
          <w:szCs w:val="28"/>
        </w:rPr>
        <w:t>高保單價值準備金，</w:t>
      </w:r>
      <w:r w:rsidRPr="00480596">
        <w:rPr>
          <w:rFonts w:ascii="標楷體" w:eastAsia="標楷體" w:hAnsi="標楷體" w:hint="eastAsia"/>
          <w:bCs/>
          <w:color w:val="000000" w:themeColor="text1"/>
          <w:sz w:val="28"/>
          <w:szCs w:val="28"/>
        </w:rPr>
        <w:t>具潛在洗錢可疑交易之風險。</w:t>
      </w:r>
      <w:r w:rsidRPr="00480596" w:rsidDel="0050680B">
        <w:rPr>
          <w:rFonts w:ascii="標楷體" w:eastAsia="標楷體" w:hAnsi="標楷體" w:hint="eastAsia"/>
          <w:bCs/>
          <w:color w:val="000000" w:themeColor="text1"/>
          <w:sz w:val="28"/>
          <w:szCs w:val="28"/>
        </w:rPr>
        <w:t xml:space="preserve"> </w:t>
      </w:r>
    </w:p>
    <w:p w:rsidR="00480596" w:rsidRPr="00480596" w:rsidRDefault="00480596" w:rsidP="00480596">
      <w:pPr>
        <w:pStyle w:val="a3"/>
        <w:numPr>
          <w:ilvl w:val="0"/>
          <w:numId w:val="14"/>
        </w:numPr>
        <w:spacing w:line="400" w:lineRule="exact"/>
        <w:ind w:leftChars="0" w:left="601" w:hanging="599"/>
        <w:jc w:val="both"/>
        <w:rPr>
          <w:rFonts w:ascii="標楷體" w:eastAsia="標楷體" w:hAnsi="標楷體"/>
          <w:bCs/>
          <w:color w:val="000000" w:themeColor="text1"/>
          <w:sz w:val="28"/>
          <w:szCs w:val="28"/>
        </w:rPr>
      </w:pPr>
      <w:r w:rsidRPr="00480596">
        <w:rPr>
          <w:rFonts w:ascii="標楷體" w:eastAsia="標楷體" w:hAnsi="標楷體"/>
          <w:bCs/>
          <w:color w:val="000000" w:themeColor="text1"/>
          <w:sz w:val="28"/>
          <w:szCs w:val="28"/>
        </w:rPr>
        <w:t>OIU</w:t>
      </w:r>
      <w:proofErr w:type="gramStart"/>
      <w:r w:rsidRPr="00480596">
        <w:rPr>
          <w:rFonts w:ascii="標楷體" w:eastAsia="標楷體" w:hAnsi="標楷體" w:hint="eastAsia"/>
          <w:bCs/>
          <w:color w:val="000000" w:themeColor="text1"/>
          <w:sz w:val="28"/>
          <w:szCs w:val="28"/>
        </w:rPr>
        <w:t>資恐風險</w:t>
      </w:r>
      <w:proofErr w:type="gramEnd"/>
      <w:r w:rsidRPr="00480596">
        <w:rPr>
          <w:rFonts w:ascii="標楷體" w:eastAsia="標楷體" w:hAnsi="標楷體" w:hint="eastAsia"/>
          <w:bCs/>
          <w:color w:val="000000" w:themeColor="text1"/>
          <w:sz w:val="28"/>
          <w:szCs w:val="28"/>
        </w:rPr>
        <w:t>辨識</w:t>
      </w:r>
    </w:p>
    <w:p w:rsidR="00480596" w:rsidRPr="00480596" w:rsidRDefault="00480596" w:rsidP="00480596">
      <w:pPr>
        <w:spacing w:line="400" w:lineRule="exact"/>
        <w:ind w:left="567"/>
        <w:jc w:val="both"/>
        <w:rPr>
          <w:rFonts w:ascii="標楷體" w:eastAsia="標楷體" w:hAnsi="標楷體"/>
          <w:bCs/>
          <w:color w:val="000000" w:themeColor="text1"/>
          <w:sz w:val="28"/>
          <w:szCs w:val="28"/>
        </w:rPr>
      </w:pPr>
      <w:r w:rsidRPr="00480596">
        <w:rPr>
          <w:rFonts w:ascii="標楷體" w:eastAsia="標楷體" w:hAnsi="標楷體"/>
          <w:bCs/>
          <w:color w:val="000000" w:themeColor="text1"/>
          <w:sz w:val="28"/>
          <w:szCs w:val="28"/>
        </w:rPr>
        <w:t>OIU</w:t>
      </w:r>
      <w:r w:rsidRPr="00480596">
        <w:rPr>
          <w:rFonts w:ascii="標楷體" w:eastAsia="標楷體" w:hAnsi="標楷體" w:hint="eastAsia"/>
          <w:bCs/>
          <w:color w:val="000000" w:themeColor="text1"/>
          <w:sz w:val="28"/>
          <w:szCs w:val="28"/>
        </w:rPr>
        <w:t>業務係以外幣收付之保險業務，並以境外客戶為銷售對象，故可提供國際間恐怖行動之相關資金，惟較易被濫用</w:t>
      </w:r>
      <w:proofErr w:type="gramStart"/>
      <w:r w:rsidRPr="00480596">
        <w:rPr>
          <w:rFonts w:ascii="標楷體" w:eastAsia="標楷體" w:hAnsi="標楷體" w:hint="eastAsia"/>
          <w:bCs/>
          <w:color w:val="000000" w:themeColor="text1"/>
          <w:sz w:val="28"/>
          <w:szCs w:val="28"/>
        </w:rPr>
        <w:t>於資恐活動</w:t>
      </w:r>
      <w:proofErr w:type="gramEnd"/>
      <w:r w:rsidRPr="00480596">
        <w:rPr>
          <w:rFonts w:ascii="標楷體" w:eastAsia="標楷體" w:hAnsi="標楷體" w:hint="eastAsia"/>
          <w:bCs/>
          <w:color w:val="000000" w:themeColor="text1"/>
          <w:sz w:val="28"/>
          <w:szCs w:val="28"/>
        </w:rPr>
        <w:t>之非營利組織中，包含人民團體、宗教性財團法人及社福慈善類財團法人等三類型客戶於</w:t>
      </w:r>
      <w:proofErr w:type="spellStart"/>
      <w:r w:rsidRPr="00480596">
        <w:rPr>
          <w:rFonts w:ascii="標楷體" w:eastAsia="標楷體" w:hAnsi="標楷體"/>
          <w:bCs/>
          <w:color w:val="000000" w:themeColor="text1"/>
          <w:sz w:val="28"/>
          <w:szCs w:val="28"/>
        </w:rPr>
        <w:t>OIU</w:t>
      </w:r>
      <w:proofErr w:type="spellEnd"/>
      <w:r w:rsidRPr="00480596">
        <w:rPr>
          <w:rFonts w:ascii="標楷體" w:eastAsia="標楷體" w:hAnsi="標楷體"/>
          <w:bCs/>
          <w:color w:val="000000" w:themeColor="text1"/>
          <w:sz w:val="28"/>
          <w:szCs w:val="28"/>
        </w:rPr>
        <w:t>辦理投保之業務占比甚少</w:t>
      </w:r>
      <w:r w:rsidRPr="00480596">
        <w:rPr>
          <w:rFonts w:ascii="標楷體" w:eastAsia="標楷體" w:hAnsi="標楷體" w:hint="eastAsia"/>
          <w:bCs/>
          <w:color w:val="000000" w:themeColor="text1"/>
          <w:sz w:val="28"/>
          <w:szCs w:val="28"/>
        </w:rPr>
        <w:t>。</w:t>
      </w:r>
    </w:p>
    <w:p w:rsidR="00480596" w:rsidRPr="00480596" w:rsidRDefault="00480596" w:rsidP="00480596">
      <w:pPr>
        <w:pStyle w:val="a3"/>
        <w:numPr>
          <w:ilvl w:val="0"/>
          <w:numId w:val="14"/>
        </w:numPr>
        <w:spacing w:line="400" w:lineRule="exact"/>
        <w:ind w:leftChars="0" w:left="567" w:hanging="566"/>
        <w:jc w:val="both"/>
        <w:rPr>
          <w:rFonts w:ascii="標楷體" w:eastAsia="標楷體" w:hAnsi="標楷體"/>
          <w:bCs/>
          <w:color w:val="000000" w:themeColor="text1"/>
          <w:sz w:val="28"/>
          <w:szCs w:val="28"/>
        </w:rPr>
      </w:pPr>
      <w:bookmarkStart w:id="1" w:name="_Hlk531712287"/>
      <w:r w:rsidRPr="00480596">
        <w:rPr>
          <w:rFonts w:ascii="標楷體" w:eastAsia="標楷體" w:hAnsi="標楷體" w:hint="eastAsia"/>
          <w:bCs/>
          <w:color w:val="000000" w:themeColor="text1"/>
          <w:sz w:val="28"/>
          <w:szCs w:val="28"/>
        </w:rPr>
        <w:t>OIU威脅及弱點辨識</w:t>
      </w:r>
    </w:p>
    <w:bookmarkEnd w:id="1"/>
    <w:p w:rsidR="00480596" w:rsidRPr="00480596" w:rsidRDefault="00480596" w:rsidP="00480596">
      <w:pPr>
        <w:pStyle w:val="a3"/>
        <w:numPr>
          <w:ilvl w:val="0"/>
          <w:numId w:val="21"/>
        </w:numPr>
        <w:spacing w:line="400" w:lineRule="exact"/>
        <w:ind w:leftChars="0" w:left="1276" w:hanging="709"/>
        <w:jc w:val="both"/>
        <w:rPr>
          <w:rFonts w:ascii="標楷體" w:eastAsia="標楷體" w:hAnsi="標楷體"/>
          <w:bCs/>
          <w:color w:val="000000" w:themeColor="text1"/>
          <w:sz w:val="28"/>
          <w:szCs w:val="28"/>
        </w:rPr>
      </w:pPr>
      <w:r w:rsidRPr="00480596">
        <w:rPr>
          <w:rFonts w:ascii="標楷體" w:eastAsia="標楷體" w:hAnsi="標楷體"/>
          <w:bCs/>
          <w:color w:val="000000" w:themeColor="text1"/>
          <w:sz w:val="28"/>
          <w:szCs w:val="28"/>
        </w:rPr>
        <w:t>OIU洗</w:t>
      </w:r>
      <w:r w:rsidRPr="00480596">
        <w:rPr>
          <w:rFonts w:ascii="標楷體" w:eastAsia="標楷體" w:hAnsi="標楷體" w:hint="eastAsia"/>
          <w:bCs/>
          <w:color w:val="000000" w:themeColor="text1"/>
          <w:sz w:val="28"/>
          <w:szCs w:val="28"/>
        </w:rPr>
        <w:t>錢</w:t>
      </w:r>
      <w:proofErr w:type="gramStart"/>
      <w:r w:rsidRPr="00480596">
        <w:rPr>
          <w:rFonts w:ascii="標楷體" w:eastAsia="標楷體" w:hAnsi="標楷體" w:hint="eastAsia"/>
          <w:bCs/>
          <w:color w:val="000000" w:themeColor="text1"/>
          <w:sz w:val="28"/>
          <w:szCs w:val="28"/>
        </w:rPr>
        <w:t>及資恐風險</w:t>
      </w:r>
      <w:proofErr w:type="gramEnd"/>
      <w:r w:rsidRPr="00480596">
        <w:rPr>
          <w:rFonts w:ascii="標楷體" w:eastAsia="標楷體" w:hAnsi="標楷體" w:hint="eastAsia"/>
          <w:bCs/>
          <w:color w:val="000000" w:themeColor="text1"/>
          <w:sz w:val="28"/>
          <w:szCs w:val="28"/>
        </w:rPr>
        <w:t>之辨識、評估，宜涵蓋客戶、地域、產品及服務、交易及通路四個面向，各面向風險之辨識、評估分析如下：</w:t>
      </w:r>
    </w:p>
    <w:p w:rsidR="00480596" w:rsidRPr="00480596" w:rsidRDefault="00480596" w:rsidP="00480596">
      <w:pPr>
        <w:numPr>
          <w:ilvl w:val="0"/>
          <w:numId w:val="15"/>
        </w:numPr>
        <w:spacing w:line="400" w:lineRule="exact"/>
        <w:ind w:left="1560" w:hanging="28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客戶風險：</w:t>
      </w:r>
    </w:p>
    <w:p w:rsidR="00480596" w:rsidRPr="00480596" w:rsidRDefault="00480596" w:rsidP="00480596">
      <w:pPr>
        <w:spacing w:line="400" w:lineRule="exact"/>
        <w:ind w:left="156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OIU提供服務之對象以境外客戶為限，客群接受政策與傳統保險業務差異僅在於國籍之限制，境外客戶本身仍</w:t>
      </w:r>
      <w:r w:rsidRPr="00480596">
        <w:rPr>
          <w:rFonts w:ascii="標楷體" w:eastAsia="標楷體" w:hAnsi="標楷體" w:hint="eastAsia"/>
          <w:bCs/>
          <w:color w:val="000000" w:themeColor="text1"/>
          <w:sz w:val="28"/>
          <w:szCs w:val="28"/>
        </w:rPr>
        <w:lastRenderedPageBreak/>
        <w:t>可能為國外重要政治性職務人士或高淨值資產人士，因此，</w:t>
      </w:r>
      <w:proofErr w:type="spellStart"/>
      <w:r w:rsidRPr="00480596">
        <w:rPr>
          <w:rFonts w:ascii="標楷體" w:eastAsia="標楷體" w:hAnsi="標楷體"/>
          <w:bCs/>
          <w:color w:val="000000" w:themeColor="text1"/>
          <w:sz w:val="28"/>
          <w:szCs w:val="28"/>
        </w:rPr>
        <w:t>OIU</w:t>
      </w:r>
      <w:proofErr w:type="spellEnd"/>
      <w:r w:rsidRPr="00480596">
        <w:rPr>
          <w:rFonts w:ascii="標楷體" w:eastAsia="標楷體" w:hAnsi="標楷體" w:hint="eastAsia"/>
          <w:bCs/>
          <w:color w:val="000000" w:themeColor="text1"/>
          <w:sz w:val="28"/>
          <w:szCs w:val="28"/>
        </w:rPr>
        <w:t>業務之交易自由度高，且因外國人資訊取得或驗證不易，如欲有效掌握客戶真實資訊需支付高額成本，以致其被利用為洗錢管道之風險較高。公司考量其商品政策及客群接受政策等，得收集產品類別、交易及客戶等資料，並分析、評估客戶來源及抵減風險措施。</w:t>
      </w:r>
    </w:p>
    <w:p w:rsidR="00480596" w:rsidRPr="00480596" w:rsidRDefault="00480596" w:rsidP="00480596">
      <w:pPr>
        <w:numPr>
          <w:ilvl w:val="0"/>
          <w:numId w:val="15"/>
        </w:numPr>
        <w:spacing w:line="400" w:lineRule="exact"/>
        <w:ind w:left="1560" w:hanging="28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地域風險：</w:t>
      </w:r>
    </w:p>
    <w:p w:rsidR="00480596" w:rsidRPr="00480596" w:rsidRDefault="00480596" w:rsidP="00480596">
      <w:pPr>
        <w:spacing w:line="400" w:lineRule="exact"/>
        <w:ind w:left="156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OIU提供服務之對象為境外客戶，客戶可能來自於世界各國，包括高風險國家（地區）、受關注國家（地區）或避稅天堂等，建議可參考下列資訊作為認定高洗錢</w:t>
      </w:r>
      <w:proofErr w:type="gramStart"/>
      <w:r w:rsidRPr="00480596">
        <w:rPr>
          <w:rFonts w:ascii="標楷體" w:eastAsia="標楷體" w:hAnsi="標楷體" w:hint="eastAsia"/>
          <w:bCs/>
          <w:color w:val="000000" w:themeColor="text1"/>
          <w:sz w:val="28"/>
          <w:szCs w:val="28"/>
        </w:rPr>
        <w:t>及資恐風險</w:t>
      </w:r>
      <w:proofErr w:type="gramEnd"/>
      <w:r w:rsidRPr="00480596">
        <w:rPr>
          <w:rFonts w:ascii="標楷體" w:eastAsia="標楷體" w:hAnsi="標楷體" w:hint="eastAsia"/>
          <w:bCs/>
          <w:color w:val="000000" w:themeColor="text1"/>
          <w:sz w:val="28"/>
          <w:szCs w:val="28"/>
        </w:rPr>
        <w:t>國家（地區）之依據：</w:t>
      </w:r>
    </w:p>
    <w:p w:rsidR="00480596" w:rsidRPr="00480596" w:rsidRDefault="00480596" w:rsidP="00480596">
      <w:pPr>
        <w:pStyle w:val="a3"/>
        <w:numPr>
          <w:ilvl w:val="0"/>
          <w:numId w:val="20"/>
        </w:numPr>
        <w:spacing w:line="400" w:lineRule="exact"/>
        <w:ind w:leftChars="0" w:left="1985"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金融監督管理委員會函轉國際防制洗錢組織所公告防制洗錢與打擊資助恐怖份子有嚴重缺失之國家或地區、及其他未遵循或未充分遵循國際防制洗錢組織建議之國家或地區。</w:t>
      </w:r>
    </w:p>
    <w:p w:rsidR="00480596" w:rsidRPr="00480596" w:rsidRDefault="00480596" w:rsidP="00480596">
      <w:pPr>
        <w:pStyle w:val="a3"/>
        <w:numPr>
          <w:ilvl w:val="0"/>
          <w:numId w:val="20"/>
        </w:numPr>
        <w:spacing w:line="400" w:lineRule="exact"/>
        <w:ind w:leftChars="0" w:left="1985"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受聯合國、美國或歐盟經濟制裁或採取其他類似措施之國家或地區。</w:t>
      </w:r>
    </w:p>
    <w:p w:rsidR="00480596" w:rsidRPr="00480596" w:rsidRDefault="00480596" w:rsidP="00480596">
      <w:pPr>
        <w:pStyle w:val="a3"/>
        <w:numPr>
          <w:ilvl w:val="0"/>
          <w:numId w:val="20"/>
        </w:numPr>
        <w:spacing w:line="400" w:lineRule="exact"/>
        <w:ind w:leftChars="0" w:left="1985"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國際貨幣基金組織所公布之境外金融中心之國家或地區。</w:t>
      </w:r>
    </w:p>
    <w:p w:rsidR="00480596" w:rsidRPr="00480596" w:rsidRDefault="00480596" w:rsidP="00480596">
      <w:pPr>
        <w:pStyle w:val="a3"/>
        <w:numPr>
          <w:ilvl w:val="0"/>
          <w:numId w:val="20"/>
        </w:numPr>
        <w:spacing w:line="400" w:lineRule="exact"/>
        <w:ind w:leftChars="0" w:left="1985"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美國財政部愛國者法案</w:t>
      </w:r>
      <w:r w:rsidRPr="00480596">
        <w:rPr>
          <w:rFonts w:ascii="標楷體" w:eastAsia="標楷體" w:hAnsi="標楷體"/>
          <w:bCs/>
          <w:color w:val="000000" w:themeColor="text1"/>
          <w:sz w:val="28"/>
          <w:szCs w:val="28"/>
        </w:rPr>
        <w:t>Section 311指定有重大洗錢</w:t>
      </w:r>
      <w:r w:rsidRPr="00480596">
        <w:rPr>
          <w:rFonts w:ascii="標楷體" w:eastAsia="標楷體" w:hAnsi="標楷體" w:hint="eastAsia"/>
          <w:bCs/>
          <w:color w:val="000000" w:themeColor="text1"/>
          <w:sz w:val="28"/>
          <w:szCs w:val="28"/>
        </w:rPr>
        <w:t>疑慮</w:t>
      </w:r>
      <w:r w:rsidRPr="00480596">
        <w:rPr>
          <w:rFonts w:ascii="標楷體" w:eastAsia="標楷體" w:hAnsi="標楷體"/>
          <w:bCs/>
          <w:color w:val="000000" w:themeColor="text1"/>
          <w:sz w:val="28"/>
          <w:szCs w:val="28"/>
        </w:rPr>
        <w:t>之國家或地區。</w:t>
      </w:r>
    </w:p>
    <w:p w:rsidR="00480596" w:rsidRPr="00480596" w:rsidRDefault="00480596" w:rsidP="00480596">
      <w:pPr>
        <w:pStyle w:val="a3"/>
        <w:numPr>
          <w:ilvl w:val="0"/>
          <w:numId w:val="20"/>
        </w:numPr>
        <w:spacing w:line="400" w:lineRule="exact"/>
        <w:ind w:leftChars="0" w:left="1985"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國際透明組織之貪腐印象指數所列具相當貪瀆程度之國家或地區。</w:t>
      </w:r>
    </w:p>
    <w:p w:rsidR="00480596" w:rsidRPr="00480596" w:rsidRDefault="00480596" w:rsidP="00480596">
      <w:pPr>
        <w:pStyle w:val="a3"/>
        <w:numPr>
          <w:ilvl w:val="0"/>
          <w:numId w:val="20"/>
        </w:numPr>
        <w:spacing w:line="400" w:lineRule="exact"/>
        <w:ind w:leftChars="0" w:left="1985"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國家風險評估報告內所述之犯罪所得主要流入及流出之國家或地區。</w:t>
      </w:r>
    </w:p>
    <w:p w:rsidR="00480596" w:rsidRPr="00480596" w:rsidRDefault="00480596" w:rsidP="00480596">
      <w:pPr>
        <w:numPr>
          <w:ilvl w:val="0"/>
          <w:numId w:val="15"/>
        </w:numPr>
        <w:spacing w:line="400" w:lineRule="exact"/>
        <w:ind w:left="1560" w:hanging="28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產品及服務風險：</w:t>
      </w:r>
    </w:p>
    <w:p w:rsidR="00480596" w:rsidRPr="00480596" w:rsidRDefault="00480596" w:rsidP="00480596">
      <w:pPr>
        <w:spacing w:line="400" w:lineRule="exact"/>
        <w:ind w:left="156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客戶可能利用保險商品特性，藉由契約撤銷權、契約終止權、保單借款等權利之行使，快速投入並收回所繳保險費以進行資金流通，亦可藉由變更要保人或受益人等方式移轉保單價值或利益。目前</w:t>
      </w:r>
      <w:r w:rsidRPr="00480596">
        <w:rPr>
          <w:rFonts w:ascii="標楷體" w:eastAsia="標楷體" w:hAnsi="標楷體"/>
          <w:bCs/>
          <w:color w:val="000000" w:themeColor="text1"/>
          <w:sz w:val="28"/>
          <w:szCs w:val="28"/>
        </w:rPr>
        <w:t>OIU主要提供之人身保險商品包含利率變動型終身壽險、變額壽險、變額萬能壽險等</w:t>
      </w:r>
      <w:r w:rsidRPr="00480596">
        <w:rPr>
          <w:rFonts w:ascii="標楷體" w:eastAsia="標楷體" w:hAnsi="標楷體" w:hint="eastAsia"/>
          <w:bCs/>
          <w:color w:val="000000" w:themeColor="text1"/>
          <w:sz w:val="28"/>
          <w:szCs w:val="28"/>
        </w:rPr>
        <w:t>儲蓄型或投資型保險商品，且係以外幣收付之保險業務，因該業務所支付之保險金及投資型保險契約連結投資標的所產生之利息或結構型商品交易之所得等，</w:t>
      </w:r>
      <w:r w:rsidRPr="00480596">
        <w:rPr>
          <w:rFonts w:ascii="標楷體" w:eastAsia="標楷體" w:hAnsi="標楷體" w:hint="eastAsia"/>
          <w:bCs/>
          <w:color w:val="000000" w:themeColor="text1"/>
          <w:sz w:val="28"/>
          <w:szCs w:val="28"/>
        </w:rPr>
        <w:lastRenderedPageBreak/>
        <w:t>免予扣繳所得稅，本質上較可能吸引不同投保目的之境外客戶。又因各別公司之商品政策及客群接受政策限制不同，所面臨之風險狀況或許會有所差異，建議保險公司得適時檢視公司客群與商品分布狀況</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如：年齡、職業、國籍等</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，收集產品類別、交易及客戶等資料以利適時更新商品政策及客群接受政策。</w:t>
      </w:r>
    </w:p>
    <w:p w:rsidR="00480596" w:rsidRPr="00480596" w:rsidRDefault="00480596" w:rsidP="00480596">
      <w:pPr>
        <w:numPr>
          <w:ilvl w:val="0"/>
          <w:numId w:val="15"/>
        </w:numPr>
        <w:spacing w:line="400" w:lineRule="exact"/>
        <w:ind w:left="1560" w:hanging="28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交易及通路風險：</w:t>
      </w:r>
    </w:p>
    <w:p w:rsidR="00480596" w:rsidRPr="00480596" w:rsidRDefault="00480596" w:rsidP="00480596">
      <w:pPr>
        <w:spacing w:line="400" w:lineRule="exact"/>
        <w:ind w:left="156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保險公司OIU業務多以客戶親洽方式投保，</w:t>
      </w:r>
      <w:proofErr w:type="gramStart"/>
      <w:r w:rsidRPr="00480596">
        <w:rPr>
          <w:rFonts w:ascii="標楷體" w:eastAsia="標楷體" w:hAnsi="標楷體" w:hint="eastAsia"/>
          <w:bCs/>
          <w:color w:val="000000" w:themeColor="text1"/>
          <w:sz w:val="28"/>
          <w:szCs w:val="28"/>
        </w:rPr>
        <w:t>採</w:t>
      </w:r>
      <w:proofErr w:type="gramEnd"/>
      <w:r w:rsidRPr="00480596">
        <w:rPr>
          <w:rFonts w:ascii="標楷體" w:eastAsia="標楷體" w:hAnsi="標楷體" w:hint="eastAsia"/>
          <w:bCs/>
          <w:color w:val="000000" w:themeColor="text1"/>
          <w:sz w:val="28"/>
          <w:szCs w:val="28"/>
        </w:rPr>
        <w:t>面對面方式提供服務為主，除透過保險公司本身之業務員外，亦可能透過保險經紀人或保險代理人管道投保。</w:t>
      </w:r>
      <w:proofErr w:type="gramStart"/>
      <w:r w:rsidRPr="00480596">
        <w:rPr>
          <w:rFonts w:ascii="標楷體" w:eastAsia="標楷體" w:hAnsi="標楷體" w:hint="eastAsia"/>
          <w:bCs/>
          <w:color w:val="000000" w:themeColor="text1"/>
          <w:sz w:val="28"/>
          <w:szCs w:val="28"/>
        </w:rPr>
        <w:t>此外，</w:t>
      </w:r>
      <w:proofErr w:type="gramEnd"/>
      <w:r w:rsidRPr="00480596">
        <w:rPr>
          <w:rFonts w:ascii="標楷體" w:eastAsia="標楷體" w:hAnsi="標楷體" w:hint="eastAsia"/>
          <w:bCs/>
          <w:color w:val="000000" w:themeColor="text1"/>
          <w:sz w:val="28"/>
          <w:szCs w:val="28"/>
        </w:rPr>
        <w:t>若公司OIU業務可接受國際匯款或境外交易，建議得就國際匯款或境外交易</w:t>
      </w:r>
      <w:proofErr w:type="gramStart"/>
      <w:r w:rsidRPr="00480596">
        <w:rPr>
          <w:rFonts w:ascii="標楷體" w:eastAsia="標楷體" w:hAnsi="標楷體" w:hint="eastAsia"/>
          <w:bCs/>
          <w:color w:val="000000" w:themeColor="text1"/>
          <w:sz w:val="28"/>
          <w:szCs w:val="28"/>
        </w:rPr>
        <w:t>採</w:t>
      </w:r>
      <w:proofErr w:type="gramEnd"/>
      <w:r w:rsidRPr="00480596">
        <w:rPr>
          <w:rFonts w:ascii="標楷體" w:eastAsia="標楷體" w:hAnsi="標楷體" w:hint="eastAsia"/>
          <w:bCs/>
          <w:color w:val="000000" w:themeColor="text1"/>
          <w:sz w:val="28"/>
          <w:szCs w:val="28"/>
        </w:rPr>
        <w:t>行相關強化管控措施以抵減風險。</w:t>
      </w:r>
    </w:p>
    <w:p w:rsidR="00480596" w:rsidRPr="00480596" w:rsidRDefault="00480596" w:rsidP="00480596">
      <w:pPr>
        <w:pStyle w:val="a3"/>
        <w:numPr>
          <w:ilvl w:val="0"/>
          <w:numId w:val="21"/>
        </w:numPr>
        <w:spacing w:line="400" w:lineRule="exact"/>
        <w:ind w:leftChars="0" w:left="1276" w:hanging="709"/>
        <w:jc w:val="both"/>
        <w:rPr>
          <w:rFonts w:ascii="標楷體" w:eastAsia="標楷體" w:hAnsi="標楷體"/>
          <w:bCs/>
          <w:color w:val="000000" w:themeColor="text1"/>
          <w:sz w:val="28"/>
          <w:szCs w:val="28"/>
        </w:rPr>
      </w:pPr>
      <w:r w:rsidRPr="00480596">
        <w:rPr>
          <w:rFonts w:ascii="標楷體" w:eastAsia="標楷體" w:hAnsi="標楷體"/>
          <w:bCs/>
          <w:color w:val="000000" w:themeColor="text1"/>
          <w:sz w:val="28"/>
          <w:szCs w:val="28"/>
        </w:rPr>
        <w:t>OIU</w:t>
      </w:r>
      <w:r w:rsidRPr="00480596">
        <w:rPr>
          <w:rFonts w:ascii="標楷體" w:eastAsia="標楷體" w:hAnsi="標楷體" w:hint="eastAsia"/>
          <w:bCs/>
          <w:color w:val="000000" w:themeColor="text1"/>
          <w:sz w:val="28"/>
          <w:szCs w:val="28"/>
        </w:rPr>
        <w:t>業務威脅與弱點辨識建議做法</w:t>
      </w:r>
    </w:p>
    <w:p w:rsidR="00480596" w:rsidRPr="00480596" w:rsidRDefault="00480596" w:rsidP="00480596">
      <w:pPr>
        <w:spacing w:line="400" w:lineRule="exact"/>
        <w:ind w:left="1276"/>
        <w:jc w:val="both"/>
        <w:rPr>
          <w:rFonts w:ascii="標楷體" w:eastAsia="標楷體" w:hAnsi="標楷體"/>
          <w:bCs/>
          <w:color w:val="000000" w:themeColor="text1"/>
          <w:sz w:val="28"/>
          <w:szCs w:val="28"/>
        </w:rPr>
      </w:pPr>
      <w:r w:rsidRPr="00480596">
        <w:rPr>
          <w:rFonts w:ascii="標楷體" w:eastAsia="標楷體" w:hAnsi="標楷體"/>
          <w:bCs/>
          <w:color w:val="000000" w:themeColor="text1"/>
          <w:sz w:val="28"/>
          <w:szCs w:val="28"/>
        </w:rPr>
        <w:t>OIU</w:t>
      </w:r>
      <w:r w:rsidRPr="00480596">
        <w:rPr>
          <w:rFonts w:ascii="標楷體" w:eastAsia="標楷體" w:hAnsi="標楷體" w:hint="eastAsia"/>
          <w:bCs/>
          <w:color w:val="000000" w:themeColor="text1"/>
          <w:sz w:val="28"/>
          <w:szCs w:val="28"/>
        </w:rPr>
        <w:t>業務係以外幣收付之保險業務，並以境外客戶為銷售對象之保險業務，交易涉及跨境服務，相關身分確認文件真實性不易辨識或需支付高額成本；我國屬高度經貿發展國家，且因地理位置所鄰近者，不乏有犯罪事件發生頻仍或其從事洗錢、</w:t>
      </w:r>
      <w:proofErr w:type="gramStart"/>
      <w:r w:rsidRPr="00480596">
        <w:rPr>
          <w:rFonts w:ascii="標楷體" w:eastAsia="標楷體" w:hAnsi="標楷體" w:hint="eastAsia"/>
          <w:bCs/>
          <w:color w:val="000000" w:themeColor="text1"/>
          <w:sz w:val="28"/>
          <w:szCs w:val="28"/>
        </w:rPr>
        <w:t>資恐風險</w:t>
      </w:r>
      <w:proofErr w:type="gramEnd"/>
      <w:r w:rsidRPr="00480596">
        <w:rPr>
          <w:rFonts w:ascii="標楷體" w:eastAsia="標楷體" w:hAnsi="標楷體" w:hint="eastAsia"/>
          <w:bCs/>
          <w:color w:val="000000" w:themeColor="text1"/>
          <w:sz w:val="28"/>
          <w:szCs w:val="28"/>
        </w:rPr>
        <w:t>較高之國家，各國面臨之犯罪威脅與單純國內交易不同，故建議保險公司宜瞭解相關交易對象可能產生之威脅，</w:t>
      </w:r>
      <w:proofErr w:type="gramStart"/>
      <w:r w:rsidRPr="00480596">
        <w:rPr>
          <w:rFonts w:ascii="標楷體" w:eastAsia="標楷體" w:hAnsi="標楷體" w:hint="eastAsia"/>
          <w:bCs/>
          <w:color w:val="000000" w:themeColor="text1"/>
          <w:sz w:val="28"/>
          <w:szCs w:val="28"/>
        </w:rPr>
        <w:t>併</w:t>
      </w:r>
      <w:proofErr w:type="gramEnd"/>
      <w:r w:rsidRPr="00480596">
        <w:rPr>
          <w:rFonts w:ascii="標楷體" w:eastAsia="標楷體" w:hAnsi="標楷體" w:hint="eastAsia"/>
          <w:bCs/>
          <w:color w:val="000000" w:themeColor="text1"/>
          <w:sz w:val="28"/>
          <w:szCs w:val="28"/>
        </w:rPr>
        <w:t>考量其所屬國家之主要犯罪威脅</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如：參考資料庫廠商相關分析、參考國家發布之國家洗錢</w:t>
      </w:r>
      <w:proofErr w:type="gramStart"/>
      <w:r w:rsidRPr="00480596">
        <w:rPr>
          <w:rFonts w:ascii="標楷體" w:eastAsia="標楷體" w:hAnsi="標楷體" w:hint="eastAsia"/>
          <w:bCs/>
          <w:color w:val="000000" w:themeColor="text1"/>
          <w:sz w:val="28"/>
          <w:szCs w:val="28"/>
        </w:rPr>
        <w:t>及資恐風險</w:t>
      </w:r>
      <w:proofErr w:type="gramEnd"/>
      <w:r w:rsidRPr="00480596">
        <w:rPr>
          <w:rFonts w:ascii="標楷體" w:eastAsia="標楷體" w:hAnsi="標楷體" w:hint="eastAsia"/>
          <w:bCs/>
          <w:color w:val="000000" w:themeColor="text1"/>
          <w:sz w:val="28"/>
          <w:szCs w:val="28"/>
        </w:rPr>
        <w:t>評估報告</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w:t>
      </w:r>
    </w:p>
    <w:p w:rsidR="00480596" w:rsidRPr="00480596" w:rsidRDefault="00480596" w:rsidP="00480596">
      <w:pPr>
        <w:spacing w:line="400" w:lineRule="exact"/>
        <w:ind w:left="1276"/>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因現行</w:t>
      </w:r>
      <w:r w:rsidRPr="00480596">
        <w:rPr>
          <w:rFonts w:ascii="標楷體" w:eastAsia="標楷體" w:hAnsi="標楷體"/>
          <w:bCs/>
          <w:color w:val="000000" w:themeColor="text1"/>
          <w:sz w:val="28"/>
          <w:szCs w:val="28"/>
        </w:rPr>
        <w:t>OIU業務之客群政策並未限制國外重要政治性職務人士或高淨值資產人士投保，且現行OIU</w:t>
      </w:r>
      <w:proofErr w:type="gramStart"/>
      <w:r w:rsidRPr="00480596">
        <w:rPr>
          <w:rFonts w:ascii="標楷體" w:eastAsia="標楷體" w:hAnsi="標楷體" w:hint="eastAsia"/>
          <w:bCs/>
          <w:color w:val="000000" w:themeColor="text1"/>
          <w:sz w:val="28"/>
          <w:szCs w:val="28"/>
        </w:rPr>
        <w:t>商品均以外幣收付且多</w:t>
      </w:r>
      <w:proofErr w:type="gramEnd"/>
      <w:r w:rsidRPr="00480596">
        <w:rPr>
          <w:rFonts w:ascii="標楷體" w:eastAsia="標楷體" w:hAnsi="標楷體" w:hint="eastAsia"/>
          <w:bCs/>
          <w:color w:val="000000" w:themeColor="text1"/>
          <w:sz w:val="28"/>
          <w:szCs w:val="28"/>
        </w:rPr>
        <w:t>具高保單價值準備金，較易吸引與犯罪所得有高度牽連關係之人利用其作為洗錢工具，</w:t>
      </w:r>
      <w:proofErr w:type="gramStart"/>
      <w:r w:rsidRPr="00480596">
        <w:rPr>
          <w:rFonts w:ascii="標楷體" w:eastAsia="標楷體" w:hAnsi="標楷體" w:hint="eastAsia"/>
          <w:bCs/>
          <w:color w:val="000000" w:themeColor="text1"/>
          <w:sz w:val="28"/>
          <w:szCs w:val="28"/>
        </w:rPr>
        <w:t>此外，</w:t>
      </w:r>
      <w:proofErr w:type="gramEnd"/>
      <w:r w:rsidRPr="00480596">
        <w:rPr>
          <w:rFonts w:ascii="標楷體" w:eastAsia="標楷體" w:hAnsi="標楷體" w:hint="eastAsia"/>
          <w:bCs/>
          <w:color w:val="000000" w:themeColor="text1"/>
          <w:sz w:val="28"/>
          <w:szCs w:val="28"/>
        </w:rPr>
        <w:t>境外客戶所提供之相關身分確認文件較不易辨識其真實性，以及客戶可透過保險經紀人或保險代理人通路進行交易，保險公司無法直接接觸面對客戶等，皆構成</w:t>
      </w:r>
      <w:proofErr w:type="spellStart"/>
      <w:r w:rsidRPr="00480596">
        <w:rPr>
          <w:rFonts w:ascii="標楷體" w:eastAsia="標楷體" w:hAnsi="標楷體"/>
          <w:bCs/>
          <w:color w:val="000000" w:themeColor="text1"/>
          <w:sz w:val="28"/>
          <w:szCs w:val="28"/>
        </w:rPr>
        <w:t>OIU</w:t>
      </w:r>
      <w:proofErr w:type="spellEnd"/>
      <w:r w:rsidRPr="00480596">
        <w:rPr>
          <w:rFonts w:ascii="標楷體" w:eastAsia="標楷體" w:hAnsi="標楷體"/>
          <w:bCs/>
          <w:color w:val="000000" w:themeColor="text1"/>
          <w:sz w:val="28"/>
          <w:szCs w:val="28"/>
        </w:rPr>
        <w:t>業務之主要弱點</w:t>
      </w:r>
      <w:r w:rsidRPr="00480596">
        <w:rPr>
          <w:rFonts w:ascii="標楷體" w:eastAsia="標楷體" w:hAnsi="標楷體" w:hint="eastAsia"/>
          <w:bCs/>
          <w:color w:val="000000" w:themeColor="text1"/>
          <w:sz w:val="28"/>
          <w:szCs w:val="28"/>
        </w:rPr>
        <w:t>；為加強保險公司認識前置犯罪之活動類型及犯罪者利用</w:t>
      </w:r>
      <w:r w:rsidRPr="00480596">
        <w:rPr>
          <w:rFonts w:ascii="標楷體" w:eastAsia="標楷體" w:hAnsi="標楷體"/>
          <w:bCs/>
          <w:color w:val="000000" w:themeColor="text1"/>
          <w:sz w:val="28"/>
          <w:szCs w:val="28"/>
        </w:rPr>
        <w:t>OIU業務</w:t>
      </w:r>
      <w:r w:rsidRPr="00480596">
        <w:rPr>
          <w:rFonts w:ascii="標楷體" w:eastAsia="標楷體" w:hAnsi="標楷體" w:hint="eastAsia"/>
          <w:bCs/>
          <w:color w:val="000000" w:themeColor="text1"/>
          <w:sz w:val="28"/>
          <w:szCs w:val="28"/>
        </w:rPr>
        <w:t>進</w:t>
      </w:r>
      <w:r w:rsidRPr="00480596">
        <w:rPr>
          <w:rFonts w:ascii="標楷體" w:eastAsia="標楷體" w:hAnsi="標楷體"/>
          <w:bCs/>
          <w:color w:val="000000" w:themeColor="text1"/>
          <w:sz w:val="28"/>
          <w:szCs w:val="28"/>
        </w:rPr>
        <w:t>行洗錢可疑交易</w:t>
      </w:r>
      <w:r w:rsidRPr="00480596">
        <w:rPr>
          <w:rFonts w:ascii="標楷體" w:eastAsia="標楷體" w:hAnsi="標楷體" w:hint="eastAsia"/>
          <w:bCs/>
          <w:color w:val="000000" w:themeColor="text1"/>
          <w:sz w:val="28"/>
          <w:szCs w:val="28"/>
        </w:rPr>
        <w:t>之</w:t>
      </w:r>
      <w:r w:rsidRPr="00480596">
        <w:rPr>
          <w:rFonts w:ascii="標楷體" w:eastAsia="標楷體" w:hAnsi="標楷體"/>
          <w:bCs/>
          <w:color w:val="000000" w:themeColor="text1"/>
          <w:sz w:val="28"/>
          <w:szCs w:val="28"/>
        </w:rPr>
        <w:t>態樣，可參考內政部警政署刑事警察局、法務部調查局等執法機關發行之犯罪態樣報告、威脅風險評估報告、統計資料等資訊，藉由掌握國內外相關犯罪趨勢及執法部門偵查經驗，提升對於前置犯罪行為</w:t>
      </w:r>
      <w:proofErr w:type="gramStart"/>
      <w:r w:rsidRPr="00480596">
        <w:rPr>
          <w:rFonts w:ascii="標楷體" w:eastAsia="標楷體" w:hAnsi="標楷體" w:hint="eastAsia"/>
          <w:bCs/>
          <w:color w:val="000000" w:themeColor="text1"/>
          <w:sz w:val="28"/>
          <w:szCs w:val="28"/>
        </w:rPr>
        <w:lastRenderedPageBreak/>
        <w:t>態樣及其</w:t>
      </w:r>
      <w:proofErr w:type="gramEnd"/>
      <w:r w:rsidRPr="00480596">
        <w:rPr>
          <w:rFonts w:ascii="標楷體" w:eastAsia="標楷體" w:hAnsi="標楷體" w:hint="eastAsia"/>
          <w:bCs/>
          <w:color w:val="000000" w:themeColor="text1"/>
          <w:sz w:val="28"/>
          <w:szCs w:val="28"/>
        </w:rPr>
        <w:t>如何藉由保險商品進行洗錢之認識。</w:t>
      </w:r>
    </w:p>
    <w:p w:rsidR="00480596" w:rsidRPr="00480596" w:rsidRDefault="00480596" w:rsidP="00480596">
      <w:pPr>
        <w:spacing w:line="400" w:lineRule="exact"/>
        <w:ind w:left="1276"/>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建議保險公司綜合評估OIU業務相較於整體保險業務之經營狀態</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如：客戶占比、保費收入</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、OIU面臨之威脅</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如：跨境服務</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與OIU業務</w:t>
      </w:r>
      <w:proofErr w:type="gramStart"/>
      <w:r w:rsidRPr="00480596">
        <w:rPr>
          <w:rFonts w:ascii="標楷體" w:eastAsia="標楷體" w:hAnsi="標楷體" w:hint="eastAsia"/>
          <w:bCs/>
          <w:color w:val="000000" w:themeColor="text1"/>
          <w:sz w:val="28"/>
          <w:szCs w:val="28"/>
        </w:rPr>
        <w:t>承作</w:t>
      </w:r>
      <w:proofErr w:type="gramEnd"/>
      <w:r w:rsidRPr="00480596">
        <w:rPr>
          <w:rFonts w:ascii="標楷體" w:eastAsia="標楷體" w:hAnsi="標楷體" w:hint="eastAsia"/>
          <w:bCs/>
          <w:color w:val="000000" w:themeColor="text1"/>
          <w:sz w:val="28"/>
          <w:szCs w:val="28"/>
        </w:rPr>
        <w:t>之弱點</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如：身分確認辨識不易</w:t>
      </w:r>
      <w:proofErr w:type="gramStart"/>
      <w:r w:rsidRPr="00480596">
        <w:rPr>
          <w:rFonts w:ascii="標楷體" w:eastAsia="標楷體" w:hAnsi="標楷體" w:hint="eastAsia"/>
          <w:bCs/>
          <w:color w:val="000000" w:themeColor="text1"/>
          <w:sz w:val="28"/>
          <w:szCs w:val="28"/>
        </w:rPr>
        <w:t>）</w:t>
      </w:r>
      <w:proofErr w:type="gramEnd"/>
      <w:r w:rsidRPr="00480596">
        <w:rPr>
          <w:rFonts w:ascii="標楷體" w:eastAsia="標楷體" w:hAnsi="標楷體" w:hint="eastAsia"/>
          <w:bCs/>
          <w:color w:val="000000" w:themeColor="text1"/>
          <w:sz w:val="28"/>
          <w:szCs w:val="28"/>
        </w:rPr>
        <w:t>，依據保險公司風險基礎方法，考量OIU業務對於全公司之洗錢</w:t>
      </w:r>
      <w:proofErr w:type="gramStart"/>
      <w:r w:rsidRPr="00480596">
        <w:rPr>
          <w:rFonts w:ascii="標楷體" w:eastAsia="標楷體" w:hAnsi="標楷體" w:hint="eastAsia"/>
          <w:bCs/>
          <w:color w:val="000000" w:themeColor="text1"/>
          <w:sz w:val="28"/>
          <w:szCs w:val="28"/>
        </w:rPr>
        <w:t>或資恐風險</w:t>
      </w:r>
      <w:proofErr w:type="gramEnd"/>
      <w:r w:rsidRPr="00480596">
        <w:rPr>
          <w:rFonts w:ascii="標楷體" w:eastAsia="標楷體" w:hAnsi="標楷體" w:hint="eastAsia"/>
          <w:bCs/>
          <w:color w:val="000000" w:themeColor="text1"/>
          <w:sz w:val="28"/>
          <w:szCs w:val="28"/>
        </w:rPr>
        <w:t>影響程度，辨識及評估OIU之風險及威脅，以有效管理及抵減已辨識出之風險。OIU服務對象為境外客戶且保險商品係以外幣收付，所面臨之洗錢</w:t>
      </w:r>
      <w:proofErr w:type="gramStart"/>
      <w:r w:rsidRPr="00480596">
        <w:rPr>
          <w:rFonts w:ascii="標楷體" w:eastAsia="標楷體" w:hAnsi="標楷體" w:hint="eastAsia"/>
          <w:bCs/>
          <w:color w:val="000000" w:themeColor="text1"/>
          <w:sz w:val="28"/>
          <w:szCs w:val="28"/>
        </w:rPr>
        <w:t>及資恐風險</w:t>
      </w:r>
      <w:proofErr w:type="gramEnd"/>
      <w:r w:rsidRPr="00480596">
        <w:rPr>
          <w:rFonts w:ascii="標楷體" w:eastAsia="標楷體" w:hAnsi="標楷體" w:hint="eastAsia"/>
          <w:bCs/>
          <w:color w:val="000000" w:themeColor="text1"/>
          <w:sz w:val="28"/>
          <w:szCs w:val="28"/>
        </w:rPr>
        <w:t>與其他傳統保險業務有異，參考國家洗錢</w:t>
      </w:r>
      <w:proofErr w:type="gramStart"/>
      <w:r w:rsidRPr="00480596">
        <w:rPr>
          <w:rFonts w:ascii="標楷體" w:eastAsia="標楷體" w:hAnsi="標楷體" w:hint="eastAsia"/>
          <w:bCs/>
          <w:color w:val="000000" w:themeColor="text1"/>
          <w:sz w:val="28"/>
          <w:szCs w:val="28"/>
        </w:rPr>
        <w:t>及資恐風險</w:t>
      </w:r>
      <w:proofErr w:type="gramEnd"/>
      <w:r w:rsidRPr="00480596">
        <w:rPr>
          <w:rFonts w:ascii="標楷體" w:eastAsia="標楷體" w:hAnsi="標楷體" w:hint="eastAsia"/>
          <w:bCs/>
          <w:color w:val="000000" w:themeColor="text1"/>
          <w:sz w:val="28"/>
          <w:szCs w:val="28"/>
        </w:rPr>
        <w:t>評估報告建議得以前述四個面向辨識及評估</w:t>
      </w:r>
      <w:proofErr w:type="spellStart"/>
      <w:r w:rsidRPr="00480596">
        <w:rPr>
          <w:rFonts w:ascii="標楷體" w:eastAsia="標楷體" w:hAnsi="標楷體" w:hint="eastAsia"/>
          <w:bCs/>
          <w:color w:val="000000" w:themeColor="text1"/>
          <w:sz w:val="28"/>
          <w:szCs w:val="28"/>
        </w:rPr>
        <w:t>OIU</w:t>
      </w:r>
      <w:proofErr w:type="spellEnd"/>
      <w:r w:rsidRPr="00480596">
        <w:rPr>
          <w:rFonts w:ascii="標楷體" w:eastAsia="標楷體" w:hAnsi="標楷體" w:hint="eastAsia"/>
          <w:bCs/>
          <w:color w:val="000000" w:themeColor="text1"/>
          <w:sz w:val="28"/>
          <w:szCs w:val="28"/>
        </w:rPr>
        <w:t>業務面臨之威脅，並同時加強OIU業務與公司整體風險指標連結。</w:t>
      </w:r>
    </w:p>
    <w:p w:rsidR="00480596" w:rsidRPr="00480596" w:rsidRDefault="00480596" w:rsidP="00480596">
      <w:pPr>
        <w:pStyle w:val="a3"/>
        <w:numPr>
          <w:ilvl w:val="0"/>
          <w:numId w:val="14"/>
        </w:numPr>
        <w:spacing w:line="400" w:lineRule="exact"/>
        <w:ind w:leftChars="0" w:left="567" w:hanging="566"/>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OIU業務強化管控方式</w:t>
      </w:r>
    </w:p>
    <w:p w:rsidR="00480596" w:rsidRPr="00480596" w:rsidRDefault="00480596" w:rsidP="00480596">
      <w:pPr>
        <w:pStyle w:val="a3"/>
        <w:spacing w:line="400" w:lineRule="exact"/>
        <w:ind w:leftChars="0" w:left="567"/>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OIU以境外客戶為服務對象，客戶身分可能為國外重要政治性職務人士或為高淨值資產人士，法人註冊地可能為高風險國家、受關注國家或避稅天堂等，且相較於國內保險業務較不易執行客戶職業真實性或最終實質受益人查證，建議保險公司得強化確認客戶身分程序應取得或驗證之文件、資料或資訊，若依保險公司之風險基礎方法辨識為高風險客戶者，應執行加強盡職調查，並建議</w:t>
      </w:r>
      <w:proofErr w:type="gramStart"/>
      <w:r w:rsidRPr="00480596">
        <w:rPr>
          <w:rFonts w:ascii="標楷體" w:eastAsia="標楷體" w:hAnsi="標楷體" w:hint="eastAsia"/>
          <w:bCs/>
          <w:color w:val="000000" w:themeColor="text1"/>
          <w:sz w:val="28"/>
          <w:szCs w:val="28"/>
        </w:rPr>
        <w:t>適時輔</w:t>
      </w:r>
      <w:proofErr w:type="gramEnd"/>
      <w:r w:rsidRPr="00480596">
        <w:rPr>
          <w:rFonts w:ascii="標楷體" w:eastAsia="標楷體" w:hAnsi="標楷體" w:hint="eastAsia"/>
          <w:bCs/>
          <w:color w:val="000000" w:themeColor="text1"/>
          <w:sz w:val="28"/>
          <w:szCs w:val="28"/>
        </w:rPr>
        <w:t>以客群分析瞭解客戶組成分佈。</w:t>
      </w:r>
    </w:p>
    <w:p w:rsidR="00480596" w:rsidRPr="00480596" w:rsidRDefault="00480596" w:rsidP="00480596">
      <w:pPr>
        <w:pStyle w:val="a3"/>
        <w:spacing w:line="400" w:lineRule="exact"/>
        <w:ind w:leftChars="0" w:left="567"/>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OIU業務所提供之商品以具高保單價值準備金或現金價值性質居多，因該業務所支付之保險金及投資型保險契約連結投資標的所產生之利息或結構型商品交易之所得等，免扣繳所得稅，本質上較可能吸引不同投保目的之境外客戶，複雜度及其他行業整合程度較高，建議保險公司</w:t>
      </w:r>
      <w:proofErr w:type="gramStart"/>
      <w:r w:rsidRPr="00480596">
        <w:rPr>
          <w:rFonts w:ascii="標楷體" w:eastAsia="標楷體" w:hAnsi="標楷體" w:hint="eastAsia"/>
          <w:bCs/>
          <w:color w:val="000000" w:themeColor="text1"/>
          <w:sz w:val="28"/>
          <w:szCs w:val="28"/>
        </w:rPr>
        <w:t>採</w:t>
      </w:r>
      <w:proofErr w:type="gramEnd"/>
      <w:r w:rsidRPr="00480596">
        <w:rPr>
          <w:rFonts w:ascii="標楷體" w:eastAsia="標楷體" w:hAnsi="標楷體" w:hint="eastAsia"/>
          <w:bCs/>
          <w:color w:val="000000" w:themeColor="text1"/>
          <w:sz w:val="28"/>
          <w:szCs w:val="28"/>
        </w:rPr>
        <w:t>行以銀行匯款或轉帳之繳費方式，避免現金交易發生</w:t>
      </w:r>
      <w:proofErr w:type="gramStart"/>
      <w:r w:rsidRPr="00480596">
        <w:rPr>
          <w:rFonts w:ascii="標楷體" w:eastAsia="標楷體" w:hAnsi="標楷體" w:hint="eastAsia"/>
          <w:bCs/>
          <w:color w:val="000000" w:themeColor="text1"/>
          <w:sz w:val="28"/>
          <w:szCs w:val="28"/>
        </w:rPr>
        <w:t>金流斷點</w:t>
      </w:r>
      <w:proofErr w:type="gramEnd"/>
      <w:r w:rsidRPr="00480596">
        <w:rPr>
          <w:rFonts w:ascii="標楷體" w:eastAsia="標楷體" w:hAnsi="標楷體" w:hint="eastAsia"/>
          <w:bCs/>
          <w:color w:val="000000" w:themeColor="text1"/>
          <w:sz w:val="28"/>
          <w:szCs w:val="28"/>
        </w:rPr>
        <w:t>。若保險公司於進行客戶審查或執行交易業務時遇有疑似洗錢交易</w:t>
      </w:r>
      <w:proofErr w:type="gramStart"/>
      <w:r w:rsidRPr="00480596">
        <w:rPr>
          <w:rFonts w:ascii="標楷體" w:eastAsia="標楷體" w:hAnsi="標楷體" w:hint="eastAsia"/>
          <w:bCs/>
          <w:color w:val="000000" w:themeColor="text1"/>
          <w:sz w:val="28"/>
          <w:szCs w:val="28"/>
        </w:rPr>
        <w:t>態樣而觸發</w:t>
      </w:r>
      <w:proofErr w:type="gramEnd"/>
      <w:r w:rsidRPr="00480596">
        <w:rPr>
          <w:rFonts w:ascii="標楷體" w:eastAsia="標楷體" w:hAnsi="標楷體" w:hint="eastAsia"/>
          <w:bCs/>
          <w:color w:val="000000" w:themeColor="text1"/>
          <w:sz w:val="28"/>
          <w:szCs w:val="28"/>
        </w:rPr>
        <w:t>可疑交易監控警示時，得適時與執法單位溝通，並依據洗錢防制法及</w:t>
      </w:r>
      <w:proofErr w:type="gramStart"/>
      <w:r w:rsidRPr="00480596">
        <w:rPr>
          <w:rFonts w:ascii="標楷體" w:eastAsia="標楷體" w:hAnsi="標楷體" w:hint="eastAsia"/>
          <w:bCs/>
          <w:color w:val="000000" w:themeColor="text1"/>
          <w:sz w:val="28"/>
          <w:szCs w:val="28"/>
        </w:rPr>
        <w:t>資恐防</w:t>
      </w:r>
      <w:proofErr w:type="gramEnd"/>
      <w:r w:rsidRPr="00480596">
        <w:rPr>
          <w:rFonts w:ascii="標楷體" w:eastAsia="標楷體" w:hAnsi="標楷體" w:hint="eastAsia"/>
          <w:bCs/>
          <w:color w:val="000000" w:themeColor="text1"/>
          <w:sz w:val="28"/>
          <w:szCs w:val="28"/>
        </w:rPr>
        <w:t>制法辦理可疑交易申報</w:t>
      </w:r>
      <w:proofErr w:type="gramStart"/>
      <w:r w:rsidRPr="00480596">
        <w:rPr>
          <w:rFonts w:ascii="標楷體" w:eastAsia="標楷體" w:hAnsi="標楷體" w:hint="eastAsia"/>
          <w:bCs/>
          <w:color w:val="000000" w:themeColor="text1"/>
          <w:sz w:val="28"/>
          <w:szCs w:val="28"/>
        </w:rPr>
        <w:t>或資恐通報</w:t>
      </w:r>
      <w:proofErr w:type="gramEnd"/>
      <w:r w:rsidRPr="00480596">
        <w:rPr>
          <w:rFonts w:ascii="標楷體" w:eastAsia="標楷體" w:hAnsi="標楷體" w:hint="eastAsia"/>
          <w:bCs/>
          <w:color w:val="000000" w:themeColor="text1"/>
          <w:sz w:val="28"/>
          <w:szCs w:val="28"/>
        </w:rPr>
        <w:t>。</w:t>
      </w:r>
    </w:p>
    <w:p w:rsidR="00480596" w:rsidRPr="00480596" w:rsidRDefault="00480596" w:rsidP="00480596">
      <w:pPr>
        <w:pStyle w:val="a3"/>
        <w:numPr>
          <w:ilvl w:val="0"/>
          <w:numId w:val="14"/>
        </w:numPr>
        <w:spacing w:line="400" w:lineRule="exact"/>
        <w:ind w:leftChars="0" w:left="567" w:hanging="566"/>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OIU客戶強化管理措施</w:t>
      </w:r>
    </w:p>
    <w:p w:rsidR="00480596" w:rsidRPr="00480596" w:rsidRDefault="00480596" w:rsidP="00480596">
      <w:pPr>
        <w:pStyle w:val="a3"/>
        <w:numPr>
          <w:ilvl w:val="0"/>
          <w:numId w:val="16"/>
        </w:numPr>
        <w:spacing w:line="400" w:lineRule="exact"/>
        <w:ind w:leftChars="0" w:left="1134" w:hanging="621"/>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確認客戶身分建議取得或驗證之文件、資料或資訊：</w:t>
      </w:r>
    </w:p>
    <w:p w:rsidR="00480596" w:rsidRPr="00480596" w:rsidRDefault="00480596" w:rsidP="00480596">
      <w:pPr>
        <w:numPr>
          <w:ilvl w:val="0"/>
          <w:numId w:val="17"/>
        </w:numPr>
        <w:spacing w:line="400" w:lineRule="exact"/>
        <w:ind w:left="1418" w:hanging="28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要保人、被保險人為自然人：</w:t>
      </w:r>
    </w:p>
    <w:p w:rsidR="00480596" w:rsidRPr="00480596" w:rsidRDefault="00480596" w:rsidP="00480596">
      <w:pPr>
        <w:pStyle w:val="a3"/>
        <w:numPr>
          <w:ilvl w:val="0"/>
          <w:numId w:val="18"/>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姓名、出生日期、國籍、住址、身分證明文件之類別及號碼。</w:t>
      </w:r>
    </w:p>
    <w:p w:rsidR="00480596" w:rsidRPr="00480596" w:rsidRDefault="00480596" w:rsidP="00480596">
      <w:pPr>
        <w:pStyle w:val="a3"/>
        <w:numPr>
          <w:ilvl w:val="0"/>
          <w:numId w:val="18"/>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lastRenderedPageBreak/>
        <w:t>取得至少二種由政府機關簽發或其他附有照片並能確定持有人身分及國籍、原居地或永久居留地之證明文件影本。</w:t>
      </w:r>
    </w:p>
    <w:p w:rsidR="00480596" w:rsidRPr="00480596" w:rsidRDefault="00480596" w:rsidP="00480596">
      <w:pPr>
        <w:pStyle w:val="a3"/>
        <w:numPr>
          <w:ilvl w:val="0"/>
          <w:numId w:val="18"/>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視客戶風險程度取得有要保人、被保險人姓名及住所地址之簽署回函或辦理電話訪查、或其他驗證身份措施(如：水、電、電信、銀行</w:t>
      </w:r>
      <w:proofErr w:type="gramStart"/>
      <w:r w:rsidRPr="00480596">
        <w:rPr>
          <w:rFonts w:ascii="標楷體" w:eastAsia="標楷體" w:hAnsi="標楷體" w:hint="eastAsia"/>
          <w:bCs/>
          <w:color w:val="000000" w:themeColor="text1"/>
          <w:sz w:val="28"/>
          <w:szCs w:val="28"/>
        </w:rPr>
        <w:t>帳單</w:t>
      </w:r>
      <w:proofErr w:type="gramEnd"/>
      <w:r w:rsidRPr="00480596">
        <w:rPr>
          <w:rFonts w:ascii="標楷體" w:eastAsia="標楷體" w:hAnsi="標楷體" w:hint="eastAsia"/>
          <w:bCs/>
          <w:color w:val="000000" w:themeColor="text1"/>
          <w:sz w:val="28"/>
          <w:szCs w:val="28"/>
        </w:rPr>
        <w:t>或報稅證明影本)。</w:t>
      </w:r>
    </w:p>
    <w:p w:rsidR="00480596" w:rsidRPr="00480596" w:rsidRDefault="00480596" w:rsidP="00480596">
      <w:pPr>
        <w:pStyle w:val="a3"/>
        <w:numPr>
          <w:ilvl w:val="0"/>
          <w:numId w:val="18"/>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取得投保時入境我國之紀錄</w:t>
      </w:r>
    </w:p>
    <w:p w:rsidR="00480596" w:rsidRPr="00480596" w:rsidRDefault="00480596" w:rsidP="00480596">
      <w:pPr>
        <w:numPr>
          <w:ilvl w:val="0"/>
          <w:numId w:val="17"/>
        </w:numPr>
        <w:spacing w:line="400" w:lineRule="exact"/>
        <w:ind w:left="1418" w:hanging="28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要保人為法人：</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取得法人全名、註冊日期及地點、登記或註冊號碼、註冊地之地址及其主要之營業處所住址。</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法人註冊地之註冊機構核發之法人註冊證書 (Certificate of Incorporation) 。</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組織章程。</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法人註冊地之當地註冊代理人6個月內簽發之董事職權證明書 (Certificate of Incumbency) 。</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法人註冊地之註冊機構6個月內簽發或於效期內之存續證明(Certificate of Good Standing)。</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董事、股東名冊及高階管理人員名單。</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要保單位出具有關簽訂保險契約之會議紀錄影本或授權書(內容</w:t>
      </w:r>
      <w:proofErr w:type="gramStart"/>
      <w:r w:rsidRPr="00480596">
        <w:rPr>
          <w:rFonts w:ascii="標楷體" w:eastAsia="標楷體" w:hAnsi="標楷體" w:hint="eastAsia"/>
          <w:bCs/>
          <w:color w:val="000000" w:themeColor="text1"/>
          <w:sz w:val="28"/>
          <w:szCs w:val="28"/>
        </w:rPr>
        <w:t>至少須載明</w:t>
      </w:r>
      <w:proofErr w:type="gramEnd"/>
      <w:r w:rsidRPr="00480596">
        <w:rPr>
          <w:rFonts w:ascii="標楷體" w:eastAsia="標楷體" w:hAnsi="標楷體" w:hint="eastAsia"/>
          <w:bCs/>
          <w:color w:val="000000" w:themeColor="text1"/>
          <w:sz w:val="28"/>
          <w:szCs w:val="28"/>
        </w:rPr>
        <w:t>核准被授權人姓名及投保人員名單)。</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負責人或被授權人之身分證明文件影本。</w:t>
      </w:r>
    </w:p>
    <w:p w:rsidR="00480596" w:rsidRPr="00480596" w:rsidRDefault="00480596" w:rsidP="00480596">
      <w:pPr>
        <w:pStyle w:val="a3"/>
        <w:numPr>
          <w:ilvl w:val="0"/>
          <w:numId w:val="19"/>
        </w:numPr>
        <w:spacing w:line="400" w:lineRule="exact"/>
        <w:ind w:leftChars="0" w:left="1701" w:firstLine="0"/>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視客戶風險程度取得有要保人、被保險人姓名及住所地址之簽署回函或辦理電話訪查、或其他驗證身分措施(如：水、電、電信、銀行</w:t>
      </w:r>
      <w:proofErr w:type="gramStart"/>
      <w:r w:rsidRPr="00480596">
        <w:rPr>
          <w:rFonts w:ascii="標楷體" w:eastAsia="標楷體" w:hAnsi="標楷體" w:hint="eastAsia"/>
          <w:bCs/>
          <w:color w:val="000000" w:themeColor="text1"/>
          <w:sz w:val="28"/>
          <w:szCs w:val="28"/>
        </w:rPr>
        <w:t>帳單</w:t>
      </w:r>
      <w:proofErr w:type="gramEnd"/>
      <w:r w:rsidRPr="00480596">
        <w:rPr>
          <w:rFonts w:ascii="標楷體" w:eastAsia="標楷體" w:hAnsi="標楷體" w:hint="eastAsia"/>
          <w:bCs/>
          <w:color w:val="000000" w:themeColor="text1"/>
          <w:sz w:val="28"/>
          <w:szCs w:val="28"/>
        </w:rPr>
        <w:t>或報稅證明影本)。</w:t>
      </w:r>
    </w:p>
    <w:p w:rsidR="00480596" w:rsidRPr="00480596" w:rsidRDefault="00480596" w:rsidP="00480596">
      <w:pPr>
        <w:numPr>
          <w:ilvl w:val="0"/>
          <w:numId w:val="17"/>
        </w:numPr>
        <w:spacing w:line="400" w:lineRule="exact"/>
        <w:ind w:left="1418" w:hanging="28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倘客戶不願意配合或未能提供身分資料及驗證之文件，建議</w:t>
      </w:r>
      <w:proofErr w:type="gramStart"/>
      <w:r w:rsidRPr="00480596">
        <w:rPr>
          <w:rFonts w:ascii="標楷體" w:eastAsia="標楷體" w:hAnsi="標楷體" w:hint="eastAsia"/>
          <w:bCs/>
          <w:color w:val="000000" w:themeColor="text1"/>
          <w:sz w:val="28"/>
          <w:szCs w:val="28"/>
        </w:rPr>
        <w:t>婉</w:t>
      </w:r>
      <w:proofErr w:type="gramEnd"/>
      <w:r w:rsidRPr="00480596">
        <w:rPr>
          <w:rFonts w:ascii="標楷體" w:eastAsia="標楷體" w:hAnsi="標楷體" w:hint="eastAsia"/>
          <w:bCs/>
          <w:color w:val="000000" w:themeColor="text1"/>
          <w:sz w:val="28"/>
          <w:szCs w:val="28"/>
        </w:rPr>
        <w:t>拒與該客戶建立業務關係。</w:t>
      </w:r>
    </w:p>
    <w:p w:rsidR="00480596" w:rsidRPr="00480596" w:rsidRDefault="00480596" w:rsidP="00480596">
      <w:pPr>
        <w:pStyle w:val="a3"/>
        <w:numPr>
          <w:ilvl w:val="0"/>
          <w:numId w:val="16"/>
        </w:numPr>
        <w:spacing w:line="400" w:lineRule="exact"/>
        <w:ind w:leftChars="0" w:left="1134" w:hanging="621"/>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加強客戶審查及交易監控</w:t>
      </w:r>
    </w:p>
    <w:p w:rsidR="00480596" w:rsidRPr="00480596" w:rsidRDefault="00480596" w:rsidP="00480596">
      <w:pPr>
        <w:pStyle w:val="a3"/>
        <w:spacing w:line="400" w:lineRule="exact"/>
        <w:ind w:leftChars="0" w:left="113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依保險公司之風險基礎方法辨識為高風險客戶者，應執行加強盡職調查，採取合理措施以瞭解客戶財富及資金來源，建議保險公司對OIU客戶可參考以下強化瞭解措施：業務同仁填寫報告書，客戶填寫要保書、財務告知書、客戶適合度調查評估等文件，以瞭解客戶入境目的、身分、投保動機、資金來源並進行交叉比對、了解背景，審酌客戶之年齡、工作</w:t>
      </w:r>
      <w:r w:rsidRPr="00480596">
        <w:rPr>
          <w:rFonts w:ascii="標楷體" w:eastAsia="標楷體" w:hAnsi="標楷體" w:hint="eastAsia"/>
          <w:bCs/>
          <w:color w:val="000000" w:themeColor="text1"/>
          <w:sz w:val="28"/>
          <w:szCs w:val="28"/>
        </w:rPr>
        <w:lastRenderedPageBreak/>
        <w:t>內容及任職公司等資料，就其投保之商品、額度、及投保動機等進行綜合評估。如其所提供之文件經審查有異常情事或發現其資金來源與洗錢</w:t>
      </w:r>
      <w:proofErr w:type="gramStart"/>
      <w:r w:rsidRPr="00480596">
        <w:rPr>
          <w:rFonts w:ascii="標楷體" w:eastAsia="標楷體" w:hAnsi="標楷體" w:hint="eastAsia"/>
          <w:bCs/>
          <w:color w:val="000000" w:themeColor="text1"/>
          <w:sz w:val="28"/>
          <w:szCs w:val="28"/>
        </w:rPr>
        <w:t>或資恐活動</w:t>
      </w:r>
      <w:proofErr w:type="gramEnd"/>
      <w:r w:rsidRPr="00480596">
        <w:rPr>
          <w:rFonts w:ascii="標楷體" w:eastAsia="標楷體" w:hAnsi="標楷體" w:hint="eastAsia"/>
          <w:bCs/>
          <w:color w:val="000000" w:themeColor="text1"/>
          <w:sz w:val="28"/>
          <w:szCs w:val="28"/>
        </w:rPr>
        <w:t>相關者、或客戶審查或執行交易業務時遇有疑似洗錢交易態樣，觸發可疑交易監控警示，得適時與執法單位溝通及回饋並依據洗錢防制法及</w:t>
      </w:r>
      <w:proofErr w:type="gramStart"/>
      <w:r w:rsidRPr="00480596">
        <w:rPr>
          <w:rFonts w:ascii="標楷體" w:eastAsia="標楷體" w:hAnsi="標楷體" w:hint="eastAsia"/>
          <w:bCs/>
          <w:color w:val="000000" w:themeColor="text1"/>
          <w:sz w:val="28"/>
          <w:szCs w:val="28"/>
        </w:rPr>
        <w:t>資恐防</w:t>
      </w:r>
      <w:proofErr w:type="gramEnd"/>
      <w:r w:rsidRPr="00480596">
        <w:rPr>
          <w:rFonts w:ascii="標楷體" w:eastAsia="標楷體" w:hAnsi="標楷體" w:hint="eastAsia"/>
          <w:bCs/>
          <w:color w:val="000000" w:themeColor="text1"/>
          <w:sz w:val="28"/>
          <w:szCs w:val="28"/>
        </w:rPr>
        <w:t>制法辦理可疑交易申報</w:t>
      </w:r>
      <w:proofErr w:type="gramStart"/>
      <w:r w:rsidRPr="00480596">
        <w:rPr>
          <w:rFonts w:ascii="標楷體" w:eastAsia="標楷體" w:hAnsi="標楷體" w:hint="eastAsia"/>
          <w:bCs/>
          <w:color w:val="000000" w:themeColor="text1"/>
          <w:sz w:val="28"/>
          <w:szCs w:val="28"/>
        </w:rPr>
        <w:t>或資恐通報</w:t>
      </w:r>
      <w:proofErr w:type="gramEnd"/>
      <w:r w:rsidRPr="00480596">
        <w:rPr>
          <w:rFonts w:ascii="標楷體" w:eastAsia="標楷體" w:hAnsi="標楷體" w:hint="eastAsia"/>
          <w:bCs/>
          <w:color w:val="000000" w:themeColor="text1"/>
          <w:sz w:val="28"/>
          <w:szCs w:val="28"/>
        </w:rPr>
        <w:t>。</w:t>
      </w:r>
    </w:p>
    <w:p w:rsidR="00480596" w:rsidRPr="00480596" w:rsidRDefault="00480596" w:rsidP="00480596">
      <w:pPr>
        <w:pStyle w:val="a3"/>
        <w:numPr>
          <w:ilvl w:val="0"/>
          <w:numId w:val="16"/>
        </w:numPr>
        <w:spacing w:line="400" w:lineRule="exact"/>
        <w:ind w:leftChars="0" w:left="1134" w:hanging="621"/>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既有OIU客戶辦理重新確認客戶身分程序</w:t>
      </w:r>
    </w:p>
    <w:p w:rsidR="00480596" w:rsidRPr="00480596" w:rsidRDefault="00480596" w:rsidP="00480596">
      <w:pPr>
        <w:pStyle w:val="a3"/>
        <w:spacing w:line="400" w:lineRule="exact"/>
        <w:ind w:leftChars="0" w:left="1134"/>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對於2017年8月18日前之既有客戶，保險公司已於2017年底依規定要求保戶提供驗證之文件、資料或資訊，完成重新確認客戶身分程序。惟若保戶經數次通知仍未完成資料更新作業者，則依個案資料與交易情況執行風險等級調整或經專責主管覆核後進行可疑交易申報。</w:t>
      </w:r>
    </w:p>
    <w:p w:rsidR="00480596" w:rsidRPr="00480596" w:rsidRDefault="00480596" w:rsidP="00480596">
      <w:pPr>
        <w:pStyle w:val="a3"/>
        <w:numPr>
          <w:ilvl w:val="0"/>
          <w:numId w:val="14"/>
        </w:numPr>
        <w:spacing w:line="400" w:lineRule="exact"/>
        <w:ind w:leftChars="0" w:left="567" w:hanging="566"/>
        <w:jc w:val="both"/>
        <w:rPr>
          <w:rFonts w:ascii="標楷體" w:eastAsia="標楷體" w:hAnsi="標楷體"/>
          <w:bCs/>
          <w:color w:val="000000" w:themeColor="text1"/>
          <w:sz w:val="28"/>
          <w:szCs w:val="28"/>
        </w:rPr>
      </w:pPr>
      <w:r w:rsidRPr="00480596">
        <w:rPr>
          <w:rFonts w:ascii="標楷體" w:eastAsia="標楷體" w:hAnsi="標楷體"/>
          <w:bCs/>
          <w:color w:val="000000" w:themeColor="text1"/>
          <w:sz w:val="28"/>
          <w:szCs w:val="28"/>
        </w:rPr>
        <w:t>OIU疑似洗錢交易</w:t>
      </w:r>
      <w:proofErr w:type="gramStart"/>
      <w:r w:rsidRPr="00480596">
        <w:rPr>
          <w:rFonts w:ascii="標楷體" w:eastAsia="標楷體" w:hAnsi="標楷體"/>
          <w:bCs/>
          <w:color w:val="000000" w:themeColor="text1"/>
          <w:sz w:val="28"/>
          <w:szCs w:val="28"/>
        </w:rPr>
        <w:t>態樣例示</w:t>
      </w:r>
      <w:proofErr w:type="gramEnd"/>
    </w:p>
    <w:p w:rsidR="00480596" w:rsidRPr="00480596" w:rsidRDefault="00480596" w:rsidP="00480596">
      <w:pPr>
        <w:pStyle w:val="a3"/>
        <w:spacing w:line="400" w:lineRule="exact"/>
        <w:ind w:leftChars="0" w:left="567"/>
        <w:jc w:val="both"/>
        <w:rPr>
          <w:rFonts w:hAnsi="標楷體"/>
          <w:bCs/>
          <w:color w:val="000000" w:themeColor="text1"/>
          <w:sz w:val="28"/>
          <w:szCs w:val="28"/>
        </w:rPr>
      </w:pPr>
      <w:r w:rsidRPr="00480596">
        <w:rPr>
          <w:rFonts w:ascii="標楷體" w:eastAsia="標楷體" w:hAnsi="標楷體" w:hint="eastAsia"/>
          <w:bCs/>
          <w:color w:val="000000" w:themeColor="text1"/>
          <w:sz w:val="28"/>
          <w:szCs w:val="28"/>
        </w:rPr>
        <w:t>保險公司辨識洗錢風險時，除參考「人壽保險業防制洗錢及</w:t>
      </w:r>
      <w:proofErr w:type="gramStart"/>
      <w:r w:rsidRPr="00480596">
        <w:rPr>
          <w:rFonts w:ascii="標楷體" w:eastAsia="標楷體" w:hAnsi="標楷體" w:hint="eastAsia"/>
          <w:bCs/>
          <w:color w:val="000000" w:themeColor="text1"/>
          <w:sz w:val="28"/>
          <w:szCs w:val="28"/>
        </w:rPr>
        <w:t>打擊資恐注意事項</w:t>
      </w:r>
      <w:proofErr w:type="gramEnd"/>
      <w:r w:rsidRPr="00480596">
        <w:rPr>
          <w:rFonts w:ascii="標楷體" w:eastAsia="標楷體" w:hAnsi="標楷體" w:hint="eastAsia"/>
          <w:bCs/>
          <w:color w:val="000000" w:themeColor="text1"/>
          <w:sz w:val="28"/>
          <w:szCs w:val="28"/>
        </w:rPr>
        <w:t>範本」之「附錄：疑似洗錢</w:t>
      </w:r>
      <w:proofErr w:type="gramStart"/>
      <w:r w:rsidRPr="00480596">
        <w:rPr>
          <w:rFonts w:ascii="標楷體" w:eastAsia="標楷體" w:hAnsi="標楷體" w:hint="eastAsia"/>
          <w:bCs/>
          <w:color w:val="000000" w:themeColor="text1"/>
          <w:sz w:val="28"/>
          <w:szCs w:val="28"/>
        </w:rPr>
        <w:t>或資恐交易</w:t>
      </w:r>
      <w:proofErr w:type="gramEnd"/>
      <w:r w:rsidRPr="00480596">
        <w:rPr>
          <w:rFonts w:ascii="標楷體" w:eastAsia="標楷體" w:hAnsi="標楷體" w:hint="eastAsia"/>
          <w:bCs/>
          <w:color w:val="000000" w:themeColor="text1"/>
          <w:sz w:val="28"/>
          <w:szCs w:val="28"/>
        </w:rPr>
        <w:t>態樣」外，得參考下列例示內容：</w:t>
      </w:r>
    </w:p>
    <w:p w:rsidR="00480596" w:rsidRPr="00480596" w:rsidRDefault="00480596" w:rsidP="00480596">
      <w:pPr>
        <w:pStyle w:val="a3"/>
        <w:numPr>
          <w:ilvl w:val="0"/>
          <w:numId w:val="22"/>
        </w:numPr>
        <w:spacing w:line="400" w:lineRule="exact"/>
        <w:ind w:leftChars="0" w:left="1172" w:hanging="142"/>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境外法人客戶提供註冊地之地址及其主要之營運處所住址為郵政信箱。</w:t>
      </w:r>
    </w:p>
    <w:p w:rsidR="00480596" w:rsidRPr="00480596" w:rsidRDefault="00480596" w:rsidP="00480596">
      <w:pPr>
        <w:pStyle w:val="a3"/>
        <w:numPr>
          <w:ilvl w:val="0"/>
          <w:numId w:val="22"/>
        </w:numPr>
        <w:spacing w:line="400" w:lineRule="exact"/>
        <w:ind w:leftChars="0" w:left="1172" w:hanging="142"/>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客戶未充分說明其建立業務關係或交易之目的與動機，或對於資金來源說明有疑慮。</w:t>
      </w:r>
    </w:p>
    <w:p w:rsidR="00480596" w:rsidRPr="00480596" w:rsidRDefault="00480596" w:rsidP="00480596">
      <w:pPr>
        <w:pStyle w:val="a3"/>
        <w:numPr>
          <w:ilvl w:val="0"/>
          <w:numId w:val="22"/>
        </w:numPr>
        <w:spacing w:line="400" w:lineRule="exact"/>
        <w:ind w:leftChars="0" w:left="1172" w:hanging="142"/>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法人客戶</w:t>
      </w:r>
      <w:r w:rsidRPr="00480596">
        <w:rPr>
          <w:rFonts w:ascii="標楷體" w:eastAsia="標楷體" w:hAnsi="標楷體"/>
          <w:bCs/>
          <w:color w:val="000000" w:themeColor="text1"/>
          <w:sz w:val="28"/>
          <w:szCs w:val="28"/>
        </w:rPr>
        <w:t>/信託之實質受益人為</w:t>
      </w:r>
      <w:r w:rsidRPr="00480596">
        <w:rPr>
          <w:rFonts w:ascii="標楷體" w:eastAsia="標楷體" w:hAnsi="標楷體" w:hint="eastAsia"/>
          <w:bCs/>
          <w:color w:val="000000" w:themeColor="text1"/>
          <w:sz w:val="28"/>
          <w:szCs w:val="28"/>
        </w:rPr>
        <w:t>隱名股東，致使無法充分辨識其股權結構。</w:t>
      </w:r>
    </w:p>
    <w:p w:rsidR="00480596" w:rsidRPr="00480596" w:rsidRDefault="00480596" w:rsidP="00480596">
      <w:pPr>
        <w:pStyle w:val="a3"/>
        <w:numPr>
          <w:ilvl w:val="0"/>
          <w:numId w:val="22"/>
        </w:numPr>
        <w:spacing w:line="400" w:lineRule="exact"/>
        <w:ind w:leftChars="0" w:left="1172" w:hanging="142"/>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客戶交易之大額匯入、匯出款項涉及非其居住地或營運所在地之第三國，且無合理理由。</w:t>
      </w:r>
    </w:p>
    <w:p w:rsidR="00480596" w:rsidRPr="00480596" w:rsidRDefault="00480596" w:rsidP="00480596">
      <w:pPr>
        <w:pStyle w:val="a3"/>
        <w:numPr>
          <w:ilvl w:val="0"/>
          <w:numId w:val="22"/>
        </w:numPr>
        <w:spacing w:line="400" w:lineRule="exact"/>
        <w:ind w:leftChars="0" w:left="1172" w:hanging="142"/>
        <w:jc w:val="both"/>
        <w:rPr>
          <w:rFonts w:ascii="標楷體" w:eastAsia="標楷體" w:hAnsi="標楷體"/>
          <w:bCs/>
          <w:color w:val="000000" w:themeColor="text1"/>
          <w:sz w:val="28"/>
          <w:szCs w:val="28"/>
        </w:rPr>
      </w:pPr>
      <w:r w:rsidRPr="00480596">
        <w:rPr>
          <w:rFonts w:ascii="標楷體" w:eastAsia="標楷體" w:hAnsi="標楷體" w:hint="eastAsia"/>
          <w:bCs/>
          <w:color w:val="000000" w:themeColor="text1"/>
          <w:sz w:val="28"/>
          <w:szCs w:val="28"/>
        </w:rPr>
        <w:t>以境外法人帳戶支付個人OIU保單費用，且無合理理由。</w:t>
      </w:r>
    </w:p>
    <w:p w:rsidR="00A550DF" w:rsidRPr="00480596" w:rsidRDefault="00A550DF" w:rsidP="00A550DF">
      <w:pPr>
        <w:spacing w:line="440" w:lineRule="exact"/>
        <w:jc w:val="both"/>
        <w:rPr>
          <w:rFonts w:ascii="標楷體" w:eastAsia="標楷體" w:hAnsi="標楷體"/>
          <w:bCs/>
          <w:sz w:val="28"/>
          <w:szCs w:val="28"/>
        </w:rPr>
      </w:pPr>
    </w:p>
    <w:sectPr w:rsidR="00A550DF" w:rsidRPr="0048059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22" w:rsidRDefault="00FC5B22" w:rsidP="003375D2">
      <w:r>
        <w:separator/>
      </w:r>
    </w:p>
  </w:endnote>
  <w:endnote w:type="continuationSeparator" w:id="0">
    <w:p w:rsidR="00FC5B22" w:rsidRDefault="00FC5B22" w:rsidP="0033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22" w:rsidRDefault="00FC5B22" w:rsidP="003375D2">
      <w:r>
        <w:separator/>
      </w:r>
    </w:p>
  </w:footnote>
  <w:footnote w:type="continuationSeparator" w:id="0">
    <w:p w:rsidR="00FC5B22" w:rsidRDefault="00FC5B22" w:rsidP="00337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2B9"/>
    <w:multiLevelType w:val="hybridMultilevel"/>
    <w:tmpl w:val="202809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805129"/>
    <w:multiLevelType w:val="hybridMultilevel"/>
    <w:tmpl w:val="D52CAAD8"/>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
    <w:nsid w:val="16DD5F01"/>
    <w:multiLevelType w:val="multilevel"/>
    <w:tmpl w:val="0204D60A"/>
    <w:lvl w:ilvl="0">
      <w:start w:val="1"/>
      <w:numFmt w:val="decimal"/>
      <w:lvlText w:val="(%1-"/>
      <w:lvlJc w:val="left"/>
      <w:pPr>
        <w:ind w:left="600" w:hanging="600"/>
      </w:pPr>
      <w:rPr>
        <w:rFonts w:hint="default"/>
      </w:rPr>
    </w:lvl>
    <w:lvl w:ilvl="1">
      <w:start w:val="1"/>
      <w:numFmt w:val="decimal"/>
      <w:lvlText w:val="(%2)"/>
      <w:lvlJc w:val="left"/>
      <w:pPr>
        <w:ind w:left="2280" w:hanging="720"/>
      </w:pPr>
      <w:rPr>
        <w:rFonts w:ascii="標楷體" w:eastAsia="標楷體" w:hAnsi="標楷體" w:cstheme="minorBidi"/>
      </w:rPr>
    </w:lvl>
    <w:lvl w:ilvl="2">
      <w:start w:val="1"/>
      <w:numFmt w:val="decimal"/>
      <w:lvlText w:val="(%1-%2)%3."/>
      <w:lvlJc w:val="left"/>
      <w:pPr>
        <w:ind w:left="4200" w:hanging="108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600" w:hanging="180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5000" w:hanging="2520"/>
      </w:pPr>
      <w:rPr>
        <w:rFonts w:hint="default"/>
      </w:rPr>
    </w:lvl>
  </w:abstractNum>
  <w:abstractNum w:abstractNumId="3">
    <w:nsid w:val="19BE31ED"/>
    <w:multiLevelType w:val="hybridMultilevel"/>
    <w:tmpl w:val="E7BCDCDC"/>
    <w:lvl w:ilvl="0" w:tplc="D046A14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23925450"/>
    <w:multiLevelType w:val="multilevel"/>
    <w:tmpl w:val="0204D60A"/>
    <w:lvl w:ilvl="0">
      <w:start w:val="1"/>
      <w:numFmt w:val="decimal"/>
      <w:lvlText w:val="(%1-"/>
      <w:lvlJc w:val="left"/>
      <w:pPr>
        <w:ind w:left="600" w:hanging="600"/>
      </w:pPr>
      <w:rPr>
        <w:rFonts w:hint="default"/>
      </w:rPr>
    </w:lvl>
    <w:lvl w:ilvl="1">
      <w:start w:val="1"/>
      <w:numFmt w:val="decimal"/>
      <w:lvlText w:val="(%2)"/>
      <w:lvlJc w:val="left"/>
      <w:pPr>
        <w:ind w:left="2280" w:hanging="720"/>
      </w:pPr>
      <w:rPr>
        <w:rFonts w:ascii="標楷體" w:eastAsia="標楷體" w:hAnsi="標楷體" w:cstheme="minorBidi"/>
      </w:rPr>
    </w:lvl>
    <w:lvl w:ilvl="2">
      <w:start w:val="1"/>
      <w:numFmt w:val="decimal"/>
      <w:lvlText w:val="(%1-%2)%3."/>
      <w:lvlJc w:val="left"/>
      <w:pPr>
        <w:ind w:left="4200" w:hanging="108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600" w:hanging="180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5000" w:hanging="2520"/>
      </w:pPr>
      <w:rPr>
        <w:rFonts w:hint="default"/>
      </w:rPr>
    </w:lvl>
  </w:abstractNum>
  <w:abstractNum w:abstractNumId="5">
    <w:nsid w:val="292D5D5E"/>
    <w:multiLevelType w:val="hybridMultilevel"/>
    <w:tmpl w:val="4418C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0D18D4"/>
    <w:multiLevelType w:val="hybridMultilevel"/>
    <w:tmpl w:val="2E6C633C"/>
    <w:lvl w:ilvl="0" w:tplc="ADCE433C">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4F3B59"/>
    <w:multiLevelType w:val="hybridMultilevel"/>
    <w:tmpl w:val="E7BCDCDC"/>
    <w:lvl w:ilvl="0" w:tplc="D046A14C">
      <w:start w:val="1"/>
      <w:numFmt w:val="decimal"/>
      <w:lvlText w:val="%1."/>
      <w:lvlJc w:val="left"/>
      <w:pPr>
        <w:ind w:left="2553" w:hanging="480"/>
      </w:pPr>
      <w:rPr>
        <w:rFonts w:hint="eastAsia"/>
      </w:rPr>
    </w:lvl>
    <w:lvl w:ilvl="1" w:tplc="04090019" w:tentative="1">
      <w:start w:val="1"/>
      <w:numFmt w:val="ideographTraditional"/>
      <w:lvlText w:val="%2、"/>
      <w:lvlJc w:val="left"/>
      <w:pPr>
        <w:ind w:left="3033" w:hanging="480"/>
      </w:pPr>
    </w:lvl>
    <w:lvl w:ilvl="2" w:tplc="0409001B" w:tentative="1">
      <w:start w:val="1"/>
      <w:numFmt w:val="lowerRoman"/>
      <w:lvlText w:val="%3."/>
      <w:lvlJc w:val="right"/>
      <w:pPr>
        <w:ind w:left="3513" w:hanging="480"/>
      </w:pPr>
    </w:lvl>
    <w:lvl w:ilvl="3" w:tplc="0409000F" w:tentative="1">
      <w:start w:val="1"/>
      <w:numFmt w:val="decimal"/>
      <w:lvlText w:val="%4."/>
      <w:lvlJc w:val="left"/>
      <w:pPr>
        <w:ind w:left="3993" w:hanging="480"/>
      </w:pPr>
    </w:lvl>
    <w:lvl w:ilvl="4" w:tplc="04090019" w:tentative="1">
      <w:start w:val="1"/>
      <w:numFmt w:val="ideographTraditional"/>
      <w:lvlText w:val="%5、"/>
      <w:lvlJc w:val="left"/>
      <w:pPr>
        <w:ind w:left="4473" w:hanging="480"/>
      </w:pPr>
    </w:lvl>
    <w:lvl w:ilvl="5" w:tplc="0409001B" w:tentative="1">
      <w:start w:val="1"/>
      <w:numFmt w:val="lowerRoman"/>
      <w:lvlText w:val="%6."/>
      <w:lvlJc w:val="right"/>
      <w:pPr>
        <w:ind w:left="4953" w:hanging="480"/>
      </w:pPr>
    </w:lvl>
    <w:lvl w:ilvl="6" w:tplc="0409000F" w:tentative="1">
      <w:start w:val="1"/>
      <w:numFmt w:val="decimal"/>
      <w:lvlText w:val="%7."/>
      <w:lvlJc w:val="left"/>
      <w:pPr>
        <w:ind w:left="5433" w:hanging="480"/>
      </w:pPr>
    </w:lvl>
    <w:lvl w:ilvl="7" w:tplc="04090019" w:tentative="1">
      <w:start w:val="1"/>
      <w:numFmt w:val="ideographTraditional"/>
      <w:lvlText w:val="%8、"/>
      <w:lvlJc w:val="left"/>
      <w:pPr>
        <w:ind w:left="5913" w:hanging="480"/>
      </w:pPr>
    </w:lvl>
    <w:lvl w:ilvl="8" w:tplc="0409001B" w:tentative="1">
      <w:start w:val="1"/>
      <w:numFmt w:val="lowerRoman"/>
      <w:lvlText w:val="%9."/>
      <w:lvlJc w:val="right"/>
      <w:pPr>
        <w:ind w:left="6393" w:hanging="480"/>
      </w:pPr>
    </w:lvl>
  </w:abstractNum>
  <w:abstractNum w:abstractNumId="8">
    <w:nsid w:val="2ED03032"/>
    <w:multiLevelType w:val="hybridMultilevel"/>
    <w:tmpl w:val="3E20D36A"/>
    <w:lvl w:ilvl="0" w:tplc="ADCE433C">
      <w:start w:val="1"/>
      <w:numFmt w:val="taiwaneseCountingThousand"/>
      <w:lvlText w:val="(%1)"/>
      <w:lvlJc w:val="left"/>
      <w:pPr>
        <w:ind w:left="1047" w:hanging="480"/>
      </w:pPr>
      <w:rPr>
        <w:rFonts w:ascii="標楷體" w:eastAsia="標楷體" w:hAnsi="標楷體"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3AD82B4A"/>
    <w:multiLevelType w:val="hybridMultilevel"/>
    <w:tmpl w:val="562A0D84"/>
    <w:lvl w:ilvl="0" w:tplc="2EDAB20C">
      <w:start w:val="1"/>
      <w:numFmt w:val="decimal"/>
      <w:lvlText w:val="(%1)"/>
      <w:lvlJc w:val="right"/>
      <w:pPr>
        <w:ind w:left="1898"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nsid w:val="3E76738C"/>
    <w:multiLevelType w:val="hybridMultilevel"/>
    <w:tmpl w:val="97A4140A"/>
    <w:lvl w:ilvl="0" w:tplc="1A3CBC7C">
      <w:start w:val="1"/>
      <w:numFmt w:val="taiwaneseCountingThousand"/>
      <w:lvlText w:val="(%1)"/>
      <w:lvlJc w:val="right"/>
      <w:pPr>
        <w:ind w:left="960" w:hanging="480"/>
      </w:pPr>
      <w:rPr>
        <w:rFonts w:hint="eastAsia"/>
        <w:b w:val="0"/>
        <w:bCs w:val="0"/>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34032DF"/>
    <w:multiLevelType w:val="multilevel"/>
    <w:tmpl w:val="D59A258A"/>
    <w:lvl w:ilvl="0">
      <w:start w:val="1"/>
      <w:numFmt w:val="decimal"/>
      <w:lvlText w:val="(%1-"/>
      <w:lvlJc w:val="left"/>
      <w:pPr>
        <w:ind w:left="600" w:hanging="600"/>
      </w:pPr>
      <w:rPr>
        <w:rFonts w:hint="default"/>
      </w:rPr>
    </w:lvl>
    <w:lvl w:ilvl="1">
      <w:start w:val="1"/>
      <w:numFmt w:val="decimal"/>
      <w:lvlText w:val="(%2)"/>
      <w:lvlJc w:val="left"/>
      <w:pPr>
        <w:ind w:left="2280" w:hanging="720"/>
      </w:pPr>
      <w:rPr>
        <w:rFonts w:ascii="標楷體" w:eastAsia="標楷體" w:hAnsi="標楷體" w:cstheme="minorBidi"/>
        <w:color w:val="000000" w:themeColor="text1"/>
        <w:u w:val="none"/>
      </w:rPr>
    </w:lvl>
    <w:lvl w:ilvl="2">
      <w:start w:val="1"/>
      <w:numFmt w:val="decimal"/>
      <w:lvlText w:val="(%1-%2)%3."/>
      <w:lvlJc w:val="left"/>
      <w:pPr>
        <w:ind w:left="4200" w:hanging="108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600" w:hanging="180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3080" w:hanging="2160"/>
      </w:pPr>
      <w:rPr>
        <w:rFonts w:hint="default"/>
      </w:rPr>
    </w:lvl>
    <w:lvl w:ilvl="8">
      <w:start w:val="1"/>
      <w:numFmt w:val="decimal"/>
      <w:lvlText w:val="(%1-%2)%3.%4.%5.%6.%7.%8.%9."/>
      <w:lvlJc w:val="left"/>
      <w:pPr>
        <w:ind w:left="15000" w:hanging="2520"/>
      </w:pPr>
      <w:rPr>
        <w:rFonts w:hint="default"/>
      </w:rPr>
    </w:lvl>
  </w:abstractNum>
  <w:abstractNum w:abstractNumId="12">
    <w:nsid w:val="486B6C0E"/>
    <w:multiLevelType w:val="hybridMultilevel"/>
    <w:tmpl w:val="FB300E2C"/>
    <w:lvl w:ilvl="0" w:tplc="2BB05870">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8F1A18"/>
    <w:multiLevelType w:val="hybridMultilevel"/>
    <w:tmpl w:val="D728D034"/>
    <w:lvl w:ilvl="0" w:tplc="7E90E6A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4C575D42"/>
    <w:multiLevelType w:val="hybridMultilevel"/>
    <w:tmpl w:val="CED0A246"/>
    <w:lvl w:ilvl="0" w:tplc="1DF253E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9D777A"/>
    <w:multiLevelType w:val="hybridMultilevel"/>
    <w:tmpl w:val="798C5E1C"/>
    <w:lvl w:ilvl="0" w:tplc="AA90C5CC">
      <w:start w:val="1"/>
      <w:numFmt w:val="decimal"/>
      <w:lvlText w:val="(%1)"/>
      <w:lvlJc w:val="left"/>
      <w:pPr>
        <w:ind w:left="1442" w:hanging="480"/>
      </w:pPr>
      <w:rPr>
        <w:rFonts w:ascii="標楷體" w:eastAsia="標楷體" w:hAnsi="標楷體" w:cstheme="minorBidi"/>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
    <w:nsid w:val="55515CA8"/>
    <w:multiLevelType w:val="hybridMultilevel"/>
    <w:tmpl w:val="A8D0E78C"/>
    <w:lvl w:ilvl="0" w:tplc="ACE087C8">
      <w:start w:val="1"/>
      <w:numFmt w:val="decimal"/>
      <w:lvlText w:val="(%1)"/>
      <w:lvlJc w:val="right"/>
      <w:pPr>
        <w:ind w:left="1898" w:hanging="480"/>
      </w:pPr>
      <w:rPr>
        <w:rFonts w:hint="eastAsia"/>
        <w:u w:val="none"/>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7">
    <w:nsid w:val="578F4E6D"/>
    <w:multiLevelType w:val="hybridMultilevel"/>
    <w:tmpl w:val="F42AB63E"/>
    <w:lvl w:ilvl="0" w:tplc="7E90E6A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0A1DDE"/>
    <w:multiLevelType w:val="hybridMultilevel"/>
    <w:tmpl w:val="F79A4F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A92F2C"/>
    <w:multiLevelType w:val="hybridMultilevel"/>
    <w:tmpl w:val="AFCE11AE"/>
    <w:lvl w:ilvl="0" w:tplc="EDA0CD4E">
      <w:start w:val="1"/>
      <w:numFmt w:val="decimal"/>
      <w:suff w:val="space"/>
      <w:lvlText w:val="(%1)"/>
      <w:lvlJc w:val="left"/>
      <w:pPr>
        <w:ind w:left="1442" w:hanging="480"/>
      </w:pPr>
      <w:rPr>
        <w:rFonts w:ascii="標楷體" w:eastAsia="標楷體" w:hAnsi="標楷體" w:cstheme="minorBidi"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0">
    <w:nsid w:val="6B806C0F"/>
    <w:multiLevelType w:val="hybridMultilevel"/>
    <w:tmpl w:val="4418C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DFC08E0"/>
    <w:multiLevelType w:val="hybridMultilevel"/>
    <w:tmpl w:val="25021ABE"/>
    <w:lvl w:ilvl="0" w:tplc="3BE635CE">
      <w:start w:val="1"/>
      <w:numFmt w:val="decimal"/>
      <w:lvlText w:val="(%1)"/>
      <w:lvlJc w:val="right"/>
      <w:pPr>
        <w:ind w:left="1331" w:hanging="480"/>
      </w:pPr>
      <w:rPr>
        <w:rFonts w:hint="eastAsia"/>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 w:numId="2">
    <w:abstractNumId w:val="13"/>
  </w:num>
  <w:num w:numId="3">
    <w:abstractNumId w:val="15"/>
  </w:num>
  <w:num w:numId="4">
    <w:abstractNumId w:val="1"/>
  </w:num>
  <w:num w:numId="5">
    <w:abstractNumId w:val="19"/>
  </w:num>
  <w:num w:numId="6">
    <w:abstractNumId w:val="4"/>
  </w:num>
  <w:num w:numId="7">
    <w:abstractNumId w:val="18"/>
  </w:num>
  <w:num w:numId="8">
    <w:abstractNumId w:val="17"/>
  </w:num>
  <w:num w:numId="9">
    <w:abstractNumId w:val="5"/>
  </w:num>
  <w:num w:numId="10">
    <w:abstractNumId w:val="14"/>
  </w:num>
  <w:num w:numId="11">
    <w:abstractNumId w:val="2"/>
  </w:num>
  <w:num w:numId="12">
    <w:abstractNumId w:val="11"/>
  </w:num>
  <w:num w:numId="13">
    <w:abstractNumId w:val="20"/>
  </w:num>
  <w:num w:numId="14">
    <w:abstractNumId w:val="12"/>
  </w:num>
  <w:num w:numId="15">
    <w:abstractNumId w:val="7"/>
  </w:num>
  <w:num w:numId="16">
    <w:abstractNumId w:val="6"/>
  </w:num>
  <w:num w:numId="17">
    <w:abstractNumId w:val="3"/>
  </w:num>
  <w:num w:numId="18">
    <w:abstractNumId w:val="16"/>
  </w:num>
  <w:num w:numId="19">
    <w:abstractNumId w:val="9"/>
  </w:num>
  <w:num w:numId="20">
    <w:abstractNumId w:val="2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B0"/>
    <w:rsid w:val="00017D43"/>
    <w:rsid w:val="00025699"/>
    <w:rsid w:val="00051C30"/>
    <w:rsid w:val="00093A06"/>
    <w:rsid w:val="000B2BA0"/>
    <w:rsid w:val="000C3372"/>
    <w:rsid w:val="000D309C"/>
    <w:rsid w:val="000D3895"/>
    <w:rsid w:val="00142708"/>
    <w:rsid w:val="001A0913"/>
    <w:rsid w:val="001A49AC"/>
    <w:rsid w:val="001D3772"/>
    <w:rsid w:val="001D3933"/>
    <w:rsid w:val="001D4704"/>
    <w:rsid w:val="002318FE"/>
    <w:rsid w:val="002A156B"/>
    <w:rsid w:val="002B6E89"/>
    <w:rsid w:val="002E4621"/>
    <w:rsid w:val="00313835"/>
    <w:rsid w:val="003346B0"/>
    <w:rsid w:val="003375D2"/>
    <w:rsid w:val="00340048"/>
    <w:rsid w:val="00366373"/>
    <w:rsid w:val="00370C81"/>
    <w:rsid w:val="0039302D"/>
    <w:rsid w:val="003B7A39"/>
    <w:rsid w:val="003E2472"/>
    <w:rsid w:val="004451D2"/>
    <w:rsid w:val="004532DE"/>
    <w:rsid w:val="00480596"/>
    <w:rsid w:val="004D7C4F"/>
    <w:rsid w:val="00521A41"/>
    <w:rsid w:val="00537E2B"/>
    <w:rsid w:val="00594506"/>
    <w:rsid w:val="005A04B0"/>
    <w:rsid w:val="005D34EC"/>
    <w:rsid w:val="0066162E"/>
    <w:rsid w:val="006828AC"/>
    <w:rsid w:val="00682D26"/>
    <w:rsid w:val="006C2C7D"/>
    <w:rsid w:val="006E63F8"/>
    <w:rsid w:val="007005EA"/>
    <w:rsid w:val="0075347E"/>
    <w:rsid w:val="007736B7"/>
    <w:rsid w:val="00776E2F"/>
    <w:rsid w:val="00802147"/>
    <w:rsid w:val="00811F3E"/>
    <w:rsid w:val="008454B0"/>
    <w:rsid w:val="00852D13"/>
    <w:rsid w:val="008B42BC"/>
    <w:rsid w:val="0091439C"/>
    <w:rsid w:val="009670E2"/>
    <w:rsid w:val="009A28C1"/>
    <w:rsid w:val="009D5F99"/>
    <w:rsid w:val="00A02F91"/>
    <w:rsid w:val="00A07830"/>
    <w:rsid w:val="00A266A6"/>
    <w:rsid w:val="00A26B93"/>
    <w:rsid w:val="00A550DF"/>
    <w:rsid w:val="00AF633D"/>
    <w:rsid w:val="00B109FF"/>
    <w:rsid w:val="00B158DA"/>
    <w:rsid w:val="00C40948"/>
    <w:rsid w:val="00C85C6A"/>
    <w:rsid w:val="00CA67D1"/>
    <w:rsid w:val="00CC2414"/>
    <w:rsid w:val="00CD3635"/>
    <w:rsid w:val="00CE739B"/>
    <w:rsid w:val="00D2233C"/>
    <w:rsid w:val="00D41C8B"/>
    <w:rsid w:val="00DD03AC"/>
    <w:rsid w:val="00DE0D47"/>
    <w:rsid w:val="00DE773C"/>
    <w:rsid w:val="00E534D1"/>
    <w:rsid w:val="00E57A46"/>
    <w:rsid w:val="00E62F47"/>
    <w:rsid w:val="00E640CF"/>
    <w:rsid w:val="00E716C8"/>
    <w:rsid w:val="00F844D6"/>
    <w:rsid w:val="00FB33A4"/>
    <w:rsid w:val="00FC5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6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E89"/>
    <w:pPr>
      <w:ind w:leftChars="200" w:left="480"/>
    </w:pPr>
  </w:style>
  <w:style w:type="character" w:styleId="a4">
    <w:name w:val="annotation reference"/>
    <w:basedOn w:val="a0"/>
    <w:uiPriority w:val="99"/>
    <w:semiHidden/>
    <w:unhideWhenUsed/>
    <w:rsid w:val="00CC2414"/>
    <w:rPr>
      <w:sz w:val="18"/>
      <w:szCs w:val="18"/>
    </w:rPr>
  </w:style>
  <w:style w:type="paragraph" w:styleId="a5">
    <w:name w:val="annotation text"/>
    <w:basedOn w:val="a"/>
    <w:link w:val="a6"/>
    <w:uiPriority w:val="99"/>
    <w:semiHidden/>
    <w:unhideWhenUsed/>
    <w:rsid w:val="00CC2414"/>
  </w:style>
  <w:style w:type="character" w:customStyle="1" w:styleId="a6">
    <w:name w:val="註解文字 字元"/>
    <w:basedOn w:val="a0"/>
    <w:link w:val="a5"/>
    <w:uiPriority w:val="99"/>
    <w:semiHidden/>
    <w:rsid w:val="00CC2414"/>
  </w:style>
  <w:style w:type="paragraph" w:styleId="a7">
    <w:name w:val="annotation subject"/>
    <w:basedOn w:val="a5"/>
    <w:next w:val="a5"/>
    <w:link w:val="a8"/>
    <w:uiPriority w:val="99"/>
    <w:semiHidden/>
    <w:unhideWhenUsed/>
    <w:rsid w:val="00CC2414"/>
    <w:rPr>
      <w:b/>
      <w:bCs/>
    </w:rPr>
  </w:style>
  <w:style w:type="character" w:customStyle="1" w:styleId="a8">
    <w:name w:val="註解主旨 字元"/>
    <w:basedOn w:val="a6"/>
    <w:link w:val="a7"/>
    <w:uiPriority w:val="99"/>
    <w:semiHidden/>
    <w:rsid w:val="00CC2414"/>
    <w:rPr>
      <w:b/>
      <w:bCs/>
    </w:rPr>
  </w:style>
  <w:style w:type="paragraph" w:styleId="a9">
    <w:name w:val="Balloon Text"/>
    <w:basedOn w:val="a"/>
    <w:link w:val="aa"/>
    <w:uiPriority w:val="99"/>
    <w:semiHidden/>
    <w:unhideWhenUsed/>
    <w:rsid w:val="00CC241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2414"/>
    <w:rPr>
      <w:rFonts w:asciiTheme="majorHAnsi" w:eastAsiaTheme="majorEastAsia" w:hAnsiTheme="majorHAnsi" w:cstheme="majorBidi"/>
      <w:sz w:val="18"/>
      <w:szCs w:val="18"/>
    </w:rPr>
  </w:style>
  <w:style w:type="paragraph" w:styleId="ab">
    <w:name w:val="header"/>
    <w:basedOn w:val="a"/>
    <w:link w:val="ac"/>
    <w:uiPriority w:val="99"/>
    <w:unhideWhenUsed/>
    <w:rsid w:val="003375D2"/>
    <w:pPr>
      <w:tabs>
        <w:tab w:val="center" w:pos="4153"/>
        <w:tab w:val="right" w:pos="8306"/>
      </w:tabs>
      <w:snapToGrid w:val="0"/>
    </w:pPr>
    <w:rPr>
      <w:sz w:val="20"/>
      <w:szCs w:val="20"/>
    </w:rPr>
  </w:style>
  <w:style w:type="character" w:customStyle="1" w:styleId="ac">
    <w:name w:val="頁首 字元"/>
    <w:basedOn w:val="a0"/>
    <w:link w:val="ab"/>
    <w:uiPriority w:val="99"/>
    <w:rsid w:val="003375D2"/>
    <w:rPr>
      <w:sz w:val="20"/>
      <w:szCs w:val="20"/>
    </w:rPr>
  </w:style>
  <w:style w:type="paragraph" w:styleId="ad">
    <w:name w:val="footer"/>
    <w:basedOn w:val="a"/>
    <w:link w:val="ae"/>
    <w:uiPriority w:val="99"/>
    <w:unhideWhenUsed/>
    <w:rsid w:val="003375D2"/>
    <w:pPr>
      <w:tabs>
        <w:tab w:val="center" w:pos="4153"/>
        <w:tab w:val="right" w:pos="8306"/>
      </w:tabs>
      <w:snapToGrid w:val="0"/>
    </w:pPr>
    <w:rPr>
      <w:sz w:val="20"/>
      <w:szCs w:val="20"/>
    </w:rPr>
  </w:style>
  <w:style w:type="character" w:customStyle="1" w:styleId="ae">
    <w:name w:val="頁尾 字元"/>
    <w:basedOn w:val="a0"/>
    <w:link w:val="ad"/>
    <w:uiPriority w:val="99"/>
    <w:rsid w:val="003375D2"/>
    <w:rPr>
      <w:sz w:val="20"/>
      <w:szCs w:val="20"/>
    </w:rPr>
  </w:style>
  <w:style w:type="character" w:styleId="af">
    <w:name w:val="Hyperlink"/>
    <w:basedOn w:val="a0"/>
    <w:uiPriority w:val="99"/>
    <w:semiHidden/>
    <w:unhideWhenUsed/>
    <w:rsid w:val="00DE773C"/>
    <w:rPr>
      <w:color w:val="0000FF"/>
      <w:u w:val="single"/>
    </w:rPr>
  </w:style>
  <w:style w:type="character" w:customStyle="1" w:styleId="WW8Num1z0">
    <w:name w:val="WW8Num1z0"/>
    <w:rsid w:val="004451D2"/>
    <w:rPr>
      <w:rFonts w:ascii="標楷體" w:eastAsia="標楷體" w:hAnsi="標楷體" w:cs="新細明體"/>
    </w:rPr>
  </w:style>
  <w:style w:type="table" w:styleId="af0">
    <w:name w:val="Table Grid"/>
    <w:basedOn w:val="a1"/>
    <w:uiPriority w:val="39"/>
    <w:rsid w:val="00480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6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E89"/>
    <w:pPr>
      <w:ind w:leftChars="200" w:left="480"/>
    </w:pPr>
  </w:style>
  <w:style w:type="character" w:styleId="a4">
    <w:name w:val="annotation reference"/>
    <w:basedOn w:val="a0"/>
    <w:uiPriority w:val="99"/>
    <w:semiHidden/>
    <w:unhideWhenUsed/>
    <w:rsid w:val="00CC2414"/>
    <w:rPr>
      <w:sz w:val="18"/>
      <w:szCs w:val="18"/>
    </w:rPr>
  </w:style>
  <w:style w:type="paragraph" w:styleId="a5">
    <w:name w:val="annotation text"/>
    <w:basedOn w:val="a"/>
    <w:link w:val="a6"/>
    <w:uiPriority w:val="99"/>
    <w:semiHidden/>
    <w:unhideWhenUsed/>
    <w:rsid w:val="00CC2414"/>
  </w:style>
  <w:style w:type="character" w:customStyle="1" w:styleId="a6">
    <w:name w:val="註解文字 字元"/>
    <w:basedOn w:val="a0"/>
    <w:link w:val="a5"/>
    <w:uiPriority w:val="99"/>
    <w:semiHidden/>
    <w:rsid w:val="00CC2414"/>
  </w:style>
  <w:style w:type="paragraph" w:styleId="a7">
    <w:name w:val="annotation subject"/>
    <w:basedOn w:val="a5"/>
    <w:next w:val="a5"/>
    <w:link w:val="a8"/>
    <w:uiPriority w:val="99"/>
    <w:semiHidden/>
    <w:unhideWhenUsed/>
    <w:rsid w:val="00CC2414"/>
    <w:rPr>
      <w:b/>
      <w:bCs/>
    </w:rPr>
  </w:style>
  <w:style w:type="character" w:customStyle="1" w:styleId="a8">
    <w:name w:val="註解主旨 字元"/>
    <w:basedOn w:val="a6"/>
    <w:link w:val="a7"/>
    <w:uiPriority w:val="99"/>
    <w:semiHidden/>
    <w:rsid w:val="00CC2414"/>
    <w:rPr>
      <w:b/>
      <w:bCs/>
    </w:rPr>
  </w:style>
  <w:style w:type="paragraph" w:styleId="a9">
    <w:name w:val="Balloon Text"/>
    <w:basedOn w:val="a"/>
    <w:link w:val="aa"/>
    <w:uiPriority w:val="99"/>
    <w:semiHidden/>
    <w:unhideWhenUsed/>
    <w:rsid w:val="00CC241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2414"/>
    <w:rPr>
      <w:rFonts w:asciiTheme="majorHAnsi" w:eastAsiaTheme="majorEastAsia" w:hAnsiTheme="majorHAnsi" w:cstheme="majorBidi"/>
      <w:sz w:val="18"/>
      <w:szCs w:val="18"/>
    </w:rPr>
  </w:style>
  <w:style w:type="paragraph" w:styleId="ab">
    <w:name w:val="header"/>
    <w:basedOn w:val="a"/>
    <w:link w:val="ac"/>
    <w:uiPriority w:val="99"/>
    <w:unhideWhenUsed/>
    <w:rsid w:val="003375D2"/>
    <w:pPr>
      <w:tabs>
        <w:tab w:val="center" w:pos="4153"/>
        <w:tab w:val="right" w:pos="8306"/>
      </w:tabs>
      <w:snapToGrid w:val="0"/>
    </w:pPr>
    <w:rPr>
      <w:sz w:val="20"/>
      <w:szCs w:val="20"/>
    </w:rPr>
  </w:style>
  <w:style w:type="character" w:customStyle="1" w:styleId="ac">
    <w:name w:val="頁首 字元"/>
    <w:basedOn w:val="a0"/>
    <w:link w:val="ab"/>
    <w:uiPriority w:val="99"/>
    <w:rsid w:val="003375D2"/>
    <w:rPr>
      <w:sz w:val="20"/>
      <w:szCs w:val="20"/>
    </w:rPr>
  </w:style>
  <w:style w:type="paragraph" w:styleId="ad">
    <w:name w:val="footer"/>
    <w:basedOn w:val="a"/>
    <w:link w:val="ae"/>
    <w:uiPriority w:val="99"/>
    <w:unhideWhenUsed/>
    <w:rsid w:val="003375D2"/>
    <w:pPr>
      <w:tabs>
        <w:tab w:val="center" w:pos="4153"/>
        <w:tab w:val="right" w:pos="8306"/>
      </w:tabs>
      <w:snapToGrid w:val="0"/>
    </w:pPr>
    <w:rPr>
      <w:sz w:val="20"/>
      <w:szCs w:val="20"/>
    </w:rPr>
  </w:style>
  <w:style w:type="character" w:customStyle="1" w:styleId="ae">
    <w:name w:val="頁尾 字元"/>
    <w:basedOn w:val="a0"/>
    <w:link w:val="ad"/>
    <w:uiPriority w:val="99"/>
    <w:rsid w:val="003375D2"/>
    <w:rPr>
      <w:sz w:val="20"/>
      <w:szCs w:val="20"/>
    </w:rPr>
  </w:style>
  <w:style w:type="character" w:styleId="af">
    <w:name w:val="Hyperlink"/>
    <w:basedOn w:val="a0"/>
    <w:uiPriority w:val="99"/>
    <w:semiHidden/>
    <w:unhideWhenUsed/>
    <w:rsid w:val="00DE773C"/>
    <w:rPr>
      <w:color w:val="0000FF"/>
      <w:u w:val="single"/>
    </w:rPr>
  </w:style>
  <w:style w:type="character" w:customStyle="1" w:styleId="WW8Num1z0">
    <w:name w:val="WW8Num1z0"/>
    <w:rsid w:val="004451D2"/>
    <w:rPr>
      <w:rFonts w:ascii="標楷體" w:eastAsia="標楷體" w:hAnsi="標楷體" w:cs="新細明體"/>
    </w:rPr>
  </w:style>
  <w:style w:type="table" w:styleId="af0">
    <w:name w:val="Table Grid"/>
    <w:basedOn w:val="a1"/>
    <w:uiPriority w:val="39"/>
    <w:rsid w:val="00480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622</Words>
  <Characters>3552</Characters>
  <Application>Microsoft Office Word</Application>
  <DocSecurity>4</DocSecurity>
  <Lines>29</Lines>
  <Paragraphs>8</Paragraphs>
  <ScaleCrop>false</ScaleCrop>
  <Company>中國人壽</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盧慕理-法令遵循部法令遵循四科</dc:creator>
  <cp:lastModifiedBy>CIAA-102</cp:lastModifiedBy>
  <cp:revision>2</cp:revision>
  <cp:lastPrinted>2018-10-18T01:31:00Z</cp:lastPrinted>
  <dcterms:created xsi:type="dcterms:W3CDTF">2019-07-01T08:39:00Z</dcterms:created>
  <dcterms:modified xsi:type="dcterms:W3CDTF">2019-07-01T08:39:00Z</dcterms:modified>
</cp:coreProperties>
</file>