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24E" w:rsidRPr="009C71C9" w:rsidRDefault="007B4FCB" w:rsidP="007B4FCB">
      <w:pPr>
        <w:spacing w:line="400" w:lineRule="exact"/>
        <w:ind w:rightChars="159" w:right="382" w:firstLineChars="70" w:firstLine="196"/>
        <w:jc w:val="center"/>
        <w:rPr>
          <w:rFonts w:ascii="標楷體" w:eastAsia="標楷體" w:hAnsi="標楷體" w:cs="Times New Roman"/>
          <w:sz w:val="28"/>
          <w:szCs w:val="28"/>
        </w:rPr>
      </w:pPr>
      <w:bookmarkStart w:id="0" w:name="_GoBack"/>
      <w:bookmarkEnd w:id="0"/>
      <w:r>
        <w:rPr>
          <w:rFonts w:ascii="標楷體" w:eastAsia="標楷體" w:hAnsi="標楷體" w:cs="標楷體" w:hint="eastAsia"/>
          <w:sz w:val="28"/>
          <w:szCs w:val="28"/>
        </w:rPr>
        <w:t>○○</w:t>
      </w:r>
      <w:r w:rsidR="005A724E">
        <w:rPr>
          <w:rFonts w:ascii="標楷體" w:eastAsia="標楷體" w:hAnsi="標楷體" w:cs="標楷體" w:hint="eastAsia"/>
          <w:sz w:val="28"/>
          <w:szCs w:val="28"/>
        </w:rPr>
        <w:t>保險代理人</w:t>
      </w:r>
      <w:r w:rsidR="005A724E" w:rsidRPr="009C71C9">
        <w:rPr>
          <w:rFonts w:ascii="標楷體" w:eastAsia="標楷體" w:hAnsi="標楷體" w:cs="標楷體" w:hint="eastAsia"/>
          <w:sz w:val="28"/>
          <w:szCs w:val="28"/>
        </w:rPr>
        <w:t>股份有限公司</w:t>
      </w:r>
    </w:p>
    <w:p w:rsidR="005A724E" w:rsidRPr="009C71C9" w:rsidRDefault="005A724E" w:rsidP="007B4FCB">
      <w:pPr>
        <w:spacing w:line="400" w:lineRule="exact"/>
        <w:ind w:rightChars="159" w:right="382" w:firstLineChars="70" w:firstLine="196"/>
        <w:jc w:val="center"/>
        <w:rPr>
          <w:rFonts w:ascii="標楷體" w:eastAsia="標楷體" w:hAnsi="標楷體" w:cs="Times New Roman"/>
          <w:sz w:val="28"/>
          <w:szCs w:val="28"/>
        </w:rPr>
      </w:pPr>
      <w:r w:rsidRPr="009C71C9">
        <w:rPr>
          <w:rFonts w:ascii="標楷體" w:eastAsia="標楷體" w:hAnsi="標楷體" w:cs="標楷體" w:hint="eastAsia"/>
          <w:sz w:val="28"/>
          <w:szCs w:val="28"/>
        </w:rPr>
        <w:t>個人資料檔案安全維護計畫及業務終止後個人資料處理方法</w:t>
      </w:r>
    </w:p>
    <w:p w:rsidR="005A724E" w:rsidRDefault="005A724E" w:rsidP="00C13E2B">
      <w:pPr>
        <w:jc w:val="right"/>
        <w:rPr>
          <w:rFonts w:ascii="標楷體" w:eastAsia="標楷體" w:hAnsi="標楷體" w:cs="Times New Roman"/>
          <w:sz w:val="27"/>
          <w:szCs w:val="27"/>
        </w:rPr>
      </w:pPr>
      <w:r>
        <w:rPr>
          <w:rFonts w:ascii="標楷體" w:eastAsia="標楷體" w:hAnsi="標楷體" w:cs="標楷體"/>
          <w:sz w:val="27"/>
          <w:szCs w:val="27"/>
        </w:rPr>
        <w:t>104</w:t>
      </w:r>
      <w:r>
        <w:rPr>
          <w:rFonts w:ascii="標楷體" w:eastAsia="標楷體" w:hAnsi="標楷體" w:cs="標楷體" w:hint="eastAsia"/>
          <w:sz w:val="27"/>
          <w:szCs w:val="27"/>
        </w:rPr>
        <w:t>年</w:t>
      </w:r>
      <w:r>
        <w:rPr>
          <w:rFonts w:ascii="標楷體" w:eastAsia="標楷體" w:hAnsi="標楷體" w:cs="標楷體"/>
          <w:sz w:val="27"/>
          <w:szCs w:val="27"/>
        </w:rPr>
        <w:t>01</w:t>
      </w:r>
      <w:r>
        <w:rPr>
          <w:rFonts w:ascii="標楷體" w:eastAsia="標楷體" w:hAnsi="標楷體" w:cs="標楷體" w:hint="eastAsia"/>
          <w:sz w:val="27"/>
          <w:szCs w:val="27"/>
        </w:rPr>
        <w:t>月</w:t>
      </w:r>
      <w:r>
        <w:rPr>
          <w:rFonts w:ascii="標楷體" w:eastAsia="標楷體" w:hAnsi="標楷體" w:cs="標楷體"/>
          <w:sz w:val="27"/>
          <w:szCs w:val="27"/>
        </w:rPr>
        <w:t>01</w:t>
      </w:r>
      <w:r>
        <w:rPr>
          <w:rFonts w:ascii="標楷體" w:eastAsia="標楷體" w:hAnsi="標楷體" w:cs="標楷體" w:hint="eastAsia"/>
          <w:sz w:val="27"/>
          <w:szCs w:val="27"/>
        </w:rPr>
        <w:t>日訂定</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第一章</w:t>
      </w:r>
      <w:r w:rsidRPr="007B35A1">
        <w:rPr>
          <w:rFonts w:ascii="標楷體" w:eastAsia="標楷體" w:hAnsi="標楷體" w:cs="標楷體"/>
          <w:sz w:val="27"/>
          <w:szCs w:val="27"/>
        </w:rPr>
        <w:t xml:space="preserve">  </w:t>
      </w:r>
      <w:r w:rsidRPr="007B35A1">
        <w:rPr>
          <w:rFonts w:ascii="標楷體" w:eastAsia="標楷體" w:hAnsi="標楷體" w:cs="標楷體" w:hint="eastAsia"/>
          <w:sz w:val="27"/>
          <w:szCs w:val="27"/>
        </w:rPr>
        <w:t>總則</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第一條</w:t>
      </w:r>
    </w:p>
    <w:p w:rsidR="005A724E" w:rsidRPr="007B35A1" w:rsidRDefault="007B4FCB" w:rsidP="00F77FD4">
      <w:pPr>
        <w:jc w:val="both"/>
        <w:rPr>
          <w:rFonts w:ascii="標楷體" w:eastAsia="標楷體" w:hAnsi="標楷體" w:cs="Times New Roman"/>
          <w:sz w:val="27"/>
          <w:szCs w:val="27"/>
        </w:rPr>
      </w:pPr>
      <w:r>
        <w:rPr>
          <w:rFonts w:ascii="標楷體" w:eastAsia="標楷體" w:hAnsi="標楷體" w:cs="標楷體" w:hint="eastAsia"/>
          <w:sz w:val="27"/>
          <w:szCs w:val="27"/>
        </w:rPr>
        <w:t>○○</w:t>
      </w:r>
      <w:r w:rsidR="005A724E">
        <w:rPr>
          <w:rFonts w:ascii="標楷體" w:eastAsia="標楷體" w:hAnsi="標楷體" w:cs="標楷體" w:hint="eastAsia"/>
          <w:sz w:val="27"/>
          <w:szCs w:val="27"/>
        </w:rPr>
        <w:t>保險代理人股份有限公司</w:t>
      </w:r>
      <w:r w:rsidR="005A724E" w:rsidRPr="007B35A1">
        <w:rPr>
          <w:rFonts w:ascii="標楷體" w:eastAsia="標楷體" w:hAnsi="標楷體" w:cs="標楷體"/>
          <w:sz w:val="27"/>
          <w:szCs w:val="27"/>
        </w:rPr>
        <w:t>(</w:t>
      </w:r>
      <w:r w:rsidR="005A724E" w:rsidRPr="007B35A1">
        <w:rPr>
          <w:rFonts w:ascii="標楷體" w:eastAsia="標楷體" w:hAnsi="標楷體" w:cs="標楷體" w:hint="eastAsia"/>
          <w:sz w:val="27"/>
          <w:szCs w:val="27"/>
        </w:rPr>
        <w:t>以下稱本公司</w:t>
      </w:r>
      <w:r w:rsidR="005A724E" w:rsidRPr="007B35A1">
        <w:rPr>
          <w:rFonts w:ascii="標楷體" w:eastAsia="標楷體" w:hAnsi="標楷體" w:cs="標楷體"/>
          <w:sz w:val="27"/>
          <w:szCs w:val="27"/>
        </w:rPr>
        <w:t>)</w:t>
      </w:r>
      <w:r w:rsidR="005A724E" w:rsidRPr="007B35A1">
        <w:rPr>
          <w:rFonts w:ascii="標楷體" w:eastAsia="標楷體" w:hAnsi="標楷體" w:cs="標楷體" w:hint="eastAsia"/>
          <w:sz w:val="27"/>
          <w:szCs w:val="27"/>
        </w:rPr>
        <w:t>為採行適當之管理措施，以加強個人資料之安全管理及維護，俾防止個人資料被竊取、竄改、毀損、滅失或洩漏，特依個人資料保護法（以下稱個資法）</w:t>
      </w:r>
      <w:r w:rsidR="005A724E">
        <w:rPr>
          <w:rFonts w:ascii="標楷體" w:eastAsia="標楷體" w:hAnsi="標楷體" w:cs="標楷體" w:hint="eastAsia"/>
          <w:sz w:val="27"/>
          <w:szCs w:val="27"/>
        </w:rPr>
        <w:t>第</w:t>
      </w:r>
      <w:r w:rsidR="005A724E">
        <w:rPr>
          <w:rFonts w:ascii="標楷體" w:eastAsia="標楷體" w:hAnsi="標楷體" w:cs="標楷體"/>
          <w:sz w:val="27"/>
          <w:szCs w:val="27"/>
        </w:rPr>
        <w:t>27</w:t>
      </w:r>
      <w:r w:rsidR="005A724E">
        <w:rPr>
          <w:rFonts w:ascii="標楷體" w:eastAsia="標楷體" w:hAnsi="標楷體" w:cs="標楷體" w:hint="eastAsia"/>
          <w:sz w:val="27"/>
          <w:szCs w:val="27"/>
        </w:rPr>
        <w:t>條第</w:t>
      </w:r>
      <w:r w:rsidR="005A724E">
        <w:rPr>
          <w:rFonts w:ascii="標楷體" w:eastAsia="標楷體" w:hAnsi="標楷體" w:cs="標楷體"/>
          <w:sz w:val="27"/>
          <w:szCs w:val="27"/>
        </w:rPr>
        <w:t>2</w:t>
      </w:r>
      <w:r w:rsidR="005A724E">
        <w:rPr>
          <w:rFonts w:ascii="標楷體" w:eastAsia="標楷體" w:hAnsi="標楷體" w:cs="標楷體" w:hint="eastAsia"/>
          <w:sz w:val="27"/>
          <w:szCs w:val="27"/>
        </w:rPr>
        <w:t>、</w:t>
      </w:r>
      <w:r w:rsidR="005A724E">
        <w:rPr>
          <w:rFonts w:ascii="標楷體" w:eastAsia="標楷體" w:hAnsi="標楷體" w:cs="標楷體"/>
          <w:sz w:val="27"/>
          <w:szCs w:val="27"/>
        </w:rPr>
        <w:t>3</w:t>
      </w:r>
      <w:r w:rsidR="005A724E">
        <w:rPr>
          <w:rFonts w:ascii="標楷體" w:eastAsia="標楷體" w:hAnsi="標楷體" w:cs="標楷體" w:hint="eastAsia"/>
          <w:sz w:val="27"/>
          <w:szCs w:val="27"/>
        </w:rPr>
        <w:t>項，以</w:t>
      </w:r>
      <w:r w:rsidR="005A724E" w:rsidRPr="007B35A1">
        <w:rPr>
          <w:rFonts w:ascii="標楷體" w:eastAsia="標楷體" w:hAnsi="標楷體" w:cs="標楷體" w:hint="eastAsia"/>
          <w:sz w:val="27"/>
          <w:szCs w:val="27"/>
        </w:rPr>
        <w:t>及「金融監督管理委員會指定非公務機關個人資料檔案安全維護辦法」</w:t>
      </w:r>
      <w:r w:rsidR="005A724E">
        <w:rPr>
          <w:rFonts w:ascii="標楷體" w:eastAsia="標楷體" w:hAnsi="標楷體" w:cs="標楷體" w:hint="eastAsia"/>
          <w:sz w:val="27"/>
          <w:szCs w:val="27"/>
        </w:rPr>
        <w:t>，</w:t>
      </w:r>
      <w:r w:rsidR="005A724E" w:rsidRPr="007B35A1">
        <w:rPr>
          <w:rFonts w:ascii="標楷體" w:eastAsia="標楷體" w:hAnsi="標楷體" w:cs="標楷體" w:hint="eastAsia"/>
          <w:sz w:val="27"/>
          <w:szCs w:val="27"/>
        </w:rPr>
        <w:t>訂定</w:t>
      </w:r>
      <w:r w:rsidR="005A724E">
        <w:rPr>
          <w:rFonts w:ascii="標楷體" w:eastAsia="標楷體" w:hAnsi="標楷體" w:cs="標楷體" w:hint="eastAsia"/>
          <w:sz w:val="27"/>
          <w:szCs w:val="27"/>
        </w:rPr>
        <w:t>本計畫及處理方法</w:t>
      </w:r>
      <w:r w:rsidR="005A724E" w:rsidRPr="007B35A1">
        <w:rPr>
          <w:rFonts w:ascii="標楷體" w:eastAsia="標楷體" w:hAnsi="標楷體" w:cs="標楷體" w:hint="eastAsia"/>
          <w:sz w:val="27"/>
          <w:szCs w:val="27"/>
        </w:rPr>
        <w:t>。</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第二章</w:t>
      </w:r>
      <w:r w:rsidRPr="007B35A1">
        <w:rPr>
          <w:rFonts w:ascii="標楷體" w:eastAsia="標楷體" w:hAnsi="標楷體" w:cs="標楷體"/>
          <w:sz w:val="27"/>
          <w:szCs w:val="27"/>
        </w:rPr>
        <w:t xml:space="preserve"> </w:t>
      </w:r>
      <w:r w:rsidRPr="007B35A1">
        <w:rPr>
          <w:rFonts w:ascii="標楷體" w:eastAsia="標楷體" w:hAnsi="標楷體" w:cs="標楷體" w:hint="eastAsia"/>
          <w:sz w:val="27"/>
          <w:szCs w:val="27"/>
        </w:rPr>
        <w:t>個人資料保護之規劃</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第二條</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本公司應設置個人資料保護管理小組，以規劃、修正與執行</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前項個人資料保護管理小組之組織規範及依</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應訂定之個人資料保護機制、程序及措施，授權總經理核定後施行。</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第三條</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本公司應依個人資料保護相關法令，每年</w:t>
      </w:r>
      <w:r>
        <w:rPr>
          <w:rFonts w:ascii="標楷體" w:eastAsia="標楷體" w:hAnsi="標楷體" w:cs="標楷體" w:hint="eastAsia"/>
          <w:sz w:val="27"/>
          <w:szCs w:val="27"/>
        </w:rPr>
        <w:t>至少一次</w:t>
      </w:r>
      <w:r w:rsidRPr="007B35A1">
        <w:rPr>
          <w:rFonts w:ascii="標楷體" w:eastAsia="標楷體" w:hAnsi="標楷體" w:cs="標楷體" w:hint="eastAsia"/>
          <w:sz w:val="27"/>
          <w:szCs w:val="27"/>
        </w:rPr>
        <w:t>查核確認所保有之個人資料現況，界定其納入</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之範圍。</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第四條</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本公司應依前條界定之個人資料範圍及業務涉及個人資料蒐集、處理、利用之流程，評估可能產生之個人資料風險，並根據風險評估之結果，訂定適當之管理機制。</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第五條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為因應個人資料之竊取、竄改、毀損、滅失或洩漏等安全事故，本公司應訂定下列應變、通報及預防機制：</w:t>
      </w:r>
    </w:p>
    <w:p w:rsidR="005A724E" w:rsidRPr="007B35A1"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一、事故發生後應採取之應變措施，包括控制當事人損害之方式、查</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明事故後通知當事人之適當方式及內容。</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二、事故發生後應受通報之對象及其通報方式。</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三、事故發生後，其矯正預防措施之研議機制。</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本公司遇有重大個人資料安全事故者，應</w:t>
      </w:r>
      <w:r>
        <w:rPr>
          <w:rFonts w:ascii="標楷體" w:eastAsia="標楷體" w:hAnsi="標楷體" w:cs="標楷體" w:hint="eastAsia"/>
          <w:sz w:val="27"/>
          <w:szCs w:val="27"/>
        </w:rPr>
        <w:t>即通報主管機關</w:t>
      </w:r>
      <w:r w:rsidRPr="00C13E2B">
        <w:rPr>
          <w:rFonts w:ascii="標楷體" w:eastAsia="標楷體" w:hAnsi="標楷體" w:cs="標楷體" w:hint="eastAsia"/>
          <w:sz w:val="27"/>
          <w:szCs w:val="27"/>
        </w:rPr>
        <w:t>；所研議之矯正預防措施，並應經公正、獨立且取得相關公認認證資格之專家，進行</w:t>
      </w:r>
      <w:r w:rsidRPr="00C13E2B">
        <w:rPr>
          <w:rFonts w:ascii="標楷體" w:eastAsia="標楷體" w:hAnsi="標楷體" w:cs="標楷體" w:hint="eastAsia"/>
          <w:sz w:val="27"/>
          <w:szCs w:val="27"/>
        </w:rPr>
        <w:lastRenderedPageBreak/>
        <w:t>整體診斷及檢視</w:t>
      </w:r>
      <w:r w:rsidRPr="00F170E9">
        <w:rPr>
          <w:rFonts w:ascii="標楷體" w:eastAsia="標楷體" w:hAnsi="標楷體" w:cs="標楷體" w:hint="eastAsia"/>
          <w:sz w:val="27"/>
          <w:szCs w:val="27"/>
        </w:rPr>
        <w:t>。</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前項所稱重大個人資料安全事故，係指個人資料遭竊取、竄改、毀損、滅失或洩漏，將危及本公司正常營運或大量當事人權益之情形。</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第六條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本公司應每年</w:t>
      </w:r>
      <w:r>
        <w:rPr>
          <w:rFonts w:ascii="標楷體" w:eastAsia="標楷體" w:hAnsi="標楷體" w:cs="標楷體" w:hint="eastAsia"/>
          <w:sz w:val="27"/>
          <w:szCs w:val="27"/>
        </w:rPr>
        <w:t>至少一次</w:t>
      </w:r>
      <w:r w:rsidRPr="007B35A1">
        <w:rPr>
          <w:rFonts w:ascii="標楷體" w:eastAsia="標楷體" w:hAnsi="標楷體" w:cs="標楷體" w:hint="eastAsia"/>
          <w:sz w:val="27"/>
          <w:szCs w:val="27"/>
        </w:rPr>
        <w:t>對員工施以個人資料保護認知宣導及教育訓練，使其明瞭相關法令之要求、責任範圍與各種個人資料保護事項之機制、程序及措施。</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第三章　個人資料之管理程序及措施</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第七條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本公司應就下列事項，訂定個人資料之管理程序：</w:t>
      </w:r>
    </w:p>
    <w:p w:rsidR="005A724E" w:rsidRPr="007B35A1" w:rsidRDefault="005A724E" w:rsidP="007B4FCB">
      <w:pPr>
        <w:ind w:left="516" w:hangingChars="191" w:hanging="516"/>
        <w:jc w:val="both"/>
        <w:rPr>
          <w:rFonts w:ascii="標楷體" w:eastAsia="標楷體" w:hAnsi="標楷體" w:cs="Times New Roman"/>
          <w:sz w:val="27"/>
          <w:szCs w:val="27"/>
        </w:rPr>
      </w:pPr>
      <w:r w:rsidRPr="007B35A1">
        <w:rPr>
          <w:rFonts w:ascii="標楷體" w:eastAsia="標楷體" w:hAnsi="標楷體" w:cs="標楷體" w:hint="eastAsia"/>
          <w:sz w:val="27"/>
          <w:szCs w:val="27"/>
        </w:rPr>
        <w:t>一、蒐集、處理或利用之個人資料包含個資法第六條所定特種個人資料者，檢視其特定目的及是否符合相關法令之要件。</w:t>
      </w:r>
    </w:p>
    <w:p w:rsidR="005A724E" w:rsidRPr="007B35A1" w:rsidRDefault="005A724E" w:rsidP="007B4FCB">
      <w:pPr>
        <w:ind w:left="516" w:hangingChars="191" w:hanging="516"/>
        <w:jc w:val="both"/>
        <w:rPr>
          <w:rFonts w:ascii="標楷體" w:eastAsia="標楷體" w:hAnsi="標楷體" w:cs="Times New Roman"/>
          <w:sz w:val="27"/>
          <w:szCs w:val="27"/>
        </w:rPr>
      </w:pPr>
      <w:r w:rsidRPr="007B35A1">
        <w:rPr>
          <w:rFonts w:ascii="標楷體" w:eastAsia="標楷體" w:hAnsi="標楷體" w:cs="標楷體" w:hint="eastAsia"/>
          <w:sz w:val="27"/>
          <w:szCs w:val="27"/>
        </w:rPr>
        <w:t>二、檢視個人資料之蒐集、處理，是否符合免為告知之事由，及告知</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之內容、方式是否合法妥適。</w:t>
      </w:r>
    </w:p>
    <w:p w:rsidR="005A724E"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三、檢視個人資料之蒐集、處理，是否符合個資法第十九條規定，具</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有特定目的及法定情形；其經當事人書面同意者，並應確保符合</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個資法第七條第一項之規定。</w:t>
      </w:r>
    </w:p>
    <w:p w:rsidR="005A724E" w:rsidRPr="007B35A1"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四、檢視個人資料之利用，是否符合蒐集之特定目的必要範圍；其為特定目的外之利用者，檢視是否符合法定情形，經當事人書面同意者，並應確保符合個資法第七條第二項之規定。</w:t>
      </w:r>
    </w:p>
    <w:p w:rsidR="005A724E" w:rsidRPr="007B35A1"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五、利用個人資料為行銷，當事人表示拒絕行銷者，立即停止利用其個人資料行銷，並至少於首次行銷時，提供當事人免費表示拒絕接受行銷之方式。</w:t>
      </w:r>
    </w:p>
    <w:p w:rsidR="005A724E"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六、委託他人蒐集、處理或利用個人資料之全部或一部時，對受託人依個資法施行細則第八條規定為適當之監督，並於委託契約或相關文件中，明確約定其內容。</w:t>
      </w:r>
    </w:p>
    <w:p w:rsidR="005A724E"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七、進行個人資料國際傳輸前，檢視是否受主管機關限制並遵循之。</w:t>
      </w:r>
    </w:p>
    <w:p w:rsidR="005A724E" w:rsidRPr="007B35A1"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八、當事人行使個資法第三條所定權利之相關事項：</w:t>
      </w:r>
    </w:p>
    <w:p w:rsidR="005A724E" w:rsidRDefault="005A724E" w:rsidP="007B4FCB">
      <w:pPr>
        <w:ind w:leftChars="222" w:left="1092" w:hangingChars="207" w:hanging="559"/>
        <w:jc w:val="both"/>
        <w:rPr>
          <w:rFonts w:ascii="標楷體" w:eastAsia="標楷體" w:hAnsi="標楷體" w:cs="Times New Roman"/>
          <w:sz w:val="27"/>
          <w:szCs w:val="27"/>
        </w:rPr>
      </w:pPr>
      <w:r w:rsidRPr="007B35A1">
        <w:rPr>
          <w:rFonts w:ascii="標楷體" w:eastAsia="標楷體" w:hAnsi="標楷體" w:cs="標楷體"/>
          <w:sz w:val="27"/>
          <w:szCs w:val="27"/>
        </w:rPr>
        <w:t>(</w:t>
      </w:r>
      <w:r w:rsidRPr="007B35A1">
        <w:rPr>
          <w:rFonts w:ascii="標楷體" w:eastAsia="標楷體" w:hAnsi="標楷體" w:cs="標楷體" w:hint="eastAsia"/>
          <w:sz w:val="27"/>
          <w:szCs w:val="27"/>
        </w:rPr>
        <w:t>一</w:t>
      </w:r>
      <w:r w:rsidRPr="007B35A1">
        <w:rPr>
          <w:rFonts w:ascii="標楷體" w:eastAsia="標楷體" w:hAnsi="標楷體" w:cs="標楷體"/>
          <w:sz w:val="27"/>
          <w:szCs w:val="27"/>
        </w:rPr>
        <w:t>)</w:t>
      </w:r>
      <w:r w:rsidRPr="007B35A1">
        <w:rPr>
          <w:rFonts w:ascii="標楷體" w:eastAsia="標楷體" w:hAnsi="標楷體" w:cs="標楷體" w:hint="eastAsia"/>
          <w:sz w:val="27"/>
          <w:szCs w:val="27"/>
        </w:rPr>
        <w:t>當事人身分之確認。</w:t>
      </w:r>
    </w:p>
    <w:p w:rsidR="005A724E" w:rsidRDefault="005A724E" w:rsidP="007B4FCB">
      <w:pPr>
        <w:ind w:leftChars="222" w:left="1092" w:hangingChars="207" w:hanging="559"/>
        <w:jc w:val="both"/>
        <w:rPr>
          <w:rFonts w:ascii="標楷體" w:eastAsia="標楷體" w:hAnsi="標楷體" w:cs="Times New Roman"/>
          <w:sz w:val="27"/>
          <w:szCs w:val="27"/>
        </w:rPr>
      </w:pPr>
      <w:r w:rsidRPr="007B35A1">
        <w:rPr>
          <w:rFonts w:ascii="標楷體" w:eastAsia="標楷體" w:hAnsi="標楷體" w:cs="標楷體"/>
          <w:sz w:val="27"/>
          <w:szCs w:val="27"/>
        </w:rPr>
        <w:t>(</w:t>
      </w:r>
      <w:r w:rsidRPr="007B35A1">
        <w:rPr>
          <w:rFonts w:ascii="標楷體" w:eastAsia="標楷體" w:hAnsi="標楷體" w:cs="標楷體" w:hint="eastAsia"/>
          <w:sz w:val="27"/>
          <w:szCs w:val="27"/>
        </w:rPr>
        <w:t>二</w:t>
      </w:r>
      <w:r w:rsidRPr="007B35A1">
        <w:rPr>
          <w:rFonts w:ascii="標楷體" w:eastAsia="標楷體" w:hAnsi="標楷體" w:cs="標楷體"/>
          <w:sz w:val="27"/>
          <w:szCs w:val="27"/>
        </w:rPr>
        <w:t>)</w:t>
      </w:r>
      <w:r w:rsidRPr="007B35A1">
        <w:rPr>
          <w:rFonts w:ascii="標楷體" w:eastAsia="標楷體" w:hAnsi="標楷體" w:cs="標楷體" w:hint="eastAsia"/>
          <w:sz w:val="27"/>
          <w:szCs w:val="27"/>
        </w:rPr>
        <w:t>提供當事人行使權利之方式，並告知所需支付之費用，及應釋明之事項。</w:t>
      </w:r>
    </w:p>
    <w:p w:rsidR="005A724E" w:rsidRDefault="005A724E" w:rsidP="007B4FCB">
      <w:pPr>
        <w:ind w:leftChars="222" w:left="1092" w:hangingChars="207" w:hanging="559"/>
        <w:jc w:val="both"/>
        <w:rPr>
          <w:rFonts w:ascii="標楷體" w:eastAsia="標楷體" w:hAnsi="標楷體" w:cs="Times New Roman"/>
          <w:sz w:val="27"/>
          <w:szCs w:val="27"/>
        </w:rPr>
      </w:pPr>
      <w:r w:rsidRPr="007B35A1">
        <w:rPr>
          <w:rFonts w:ascii="標楷體" w:eastAsia="標楷體" w:hAnsi="標楷體" w:cs="標楷體"/>
          <w:sz w:val="27"/>
          <w:szCs w:val="27"/>
        </w:rPr>
        <w:t>(</w:t>
      </w:r>
      <w:r w:rsidRPr="007B35A1">
        <w:rPr>
          <w:rFonts w:ascii="標楷體" w:eastAsia="標楷體" w:hAnsi="標楷體" w:cs="標楷體" w:hint="eastAsia"/>
          <w:sz w:val="27"/>
          <w:szCs w:val="27"/>
        </w:rPr>
        <w:t>三</w:t>
      </w:r>
      <w:r w:rsidRPr="007B35A1">
        <w:rPr>
          <w:rFonts w:ascii="標楷體" w:eastAsia="標楷體" w:hAnsi="標楷體" w:cs="標楷體"/>
          <w:sz w:val="27"/>
          <w:szCs w:val="27"/>
        </w:rPr>
        <w:t>)</w:t>
      </w:r>
      <w:r w:rsidRPr="007B35A1">
        <w:rPr>
          <w:rFonts w:ascii="標楷體" w:eastAsia="標楷體" w:hAnsi="標楷體" w:cs="標楷體" w:hint="eastAsia"/>
          <w:sz w:val="27"/>
          <w:szCs w:val="27"/>
        </w:rPr>
        <w:t>對當事人請求之審查方式，並遵守個資法有關處理期限之規定。</w:t>
      </w:r>
    </w:p>
    <w:p w:rsidR="005A724E" w:rsidRPr="007B35A1" w:rsidRDefault="005A724E" w:rsidP="007B4FCB">
      <w:pPr>
        <w:ind w:leftChars="222" w:left="1092" w:hangingChars="207" w:hanging="559"/>
        <w:jc w:val="both"/>
        <w:rPr>
          <w:rFonts w:ascii="標楷體" w:eastAsia="標楷體" w:hAnsi="標楷體" w:cs="Times New Roman"/>
          <w:sz w:val="27"/>
          <w:szCs w:val="27"/>
        </w:rPr>
      </w:pPr>
      <w:r w:rsidRPr="007B35A1">
        <w:rPr>
          <w:rFonts w:ascii="標楷體" w:eastAsia="標楷體" w:hAnsi="標楷體" w:cs="標楷體"/>
          <w:sz w:val="27"/>
          <w:szCs w:val="27"/>
        </w:rPr>
        <w:t>(</w:t>
      </w:r>
      <w:r w:rsidRPr="007B35A1">
        <w:rPr>
          <w:rFonts w:ascii="標楷體" w:eastAsia="標楷體" w:hAnsi="標楷體" w:cs="標楷體" w:hint="eastAsia"/>
          <w:sz w:val="27"/>
          <w:szCs w:val="27"/>
        </w:rPr>
        <w:t>四</w:t>
      </w:r>
      <w:r w:rsidRPr="007B35A1">
        <w:rPr>
          <w:rFonts w:ascii="標楷體" w:eastAsia="標楷體" w:hAnsi="標楷體" w:cs="標楷體"/>
          <w:sz w:val="27"/>
          <w:szCs w:val="27"/>
        </w:rPr>
        <w:t>)</w:t>
      </w:r>
      <w:r w:rsidRPr="007B35A1">
        <w:rPr>
          <w:rFonts w:ascii="標楷體" w:eastAsia="標楷體" w:hAnsi="標楷體" w:cs="標楷體" w:hint="eastAsia"/>
          <w:sz w:val="27"/>
          <w:szCs w:val="27"/>
        </w:rPr>
        <w:t>有個資法所定得拒絕當事人行使權利之事由者，其理</w:t>
      </w:r>
      <w:r w:rsidRPr="007B35A1">
        <w:rPr>
          <w:rFonts w:ascii="標楷體" w:eastAsia="標楷體" w:hAnsi="標楷體" w:cs="標楷體"/>
          <w:sz w:val="27"/>
          <w:szCs w:val="27"/>
        </w:rPr>
        <w:t xml:space="preserve">       </w:t>
      </w:r>
      <w:r w:rsidRPr="007B35A1">
        <w:rPr>
          <w:rFonts w:ascii="標楷體" w:eastAsia="標楷體" w:hAnsi="標楷體" w:cs="標楷體" w:hint="eastAsia"/>
          <w:sz w:val="27"/>
          <w:szCs w:val="27"/>
        </w:rPr>
        <w:t>由記載及通知當事人之方式。</w:t>
      </w:r>
    </w:p>
    <w:p w:rsidR="005A724E" w:rsidRDefault="005A724E" w:rsidP="007B4FCB">
      <w:pPr>
        <w:ind w:left="545" w:hangingChars="202" w:hanging="545"/>
        <w:jc w:val="both"/>
        <w:rPr>
          <w:rFonts w:ascii="標楷體" w:eastAsia="標楷體" w:hAnsi="標楷體" w:cs="Times New Roman"/>
          <w:sz w:val="27"/>
          <w:szCs w:val="27"/>
        </w:rPr>
      </w:pPr>
      <w:r w:rsidRPr="007B35A1">
        <w:rPr>
          <w:rFonts w:ascii="標楷體" w:eastAsia="標楷體" w:hAnsi="標楷體" w:cs="標楷體" w:hint="eastAsia"/>
          <w:sz w:val="27"/>
          <w:szCs w:val="27"/>
        </w:rPr>
        <w:lastRenderedPageBreak/>
        <w:t>九、檢視個人資料於蒐集、處理或利用過程中是否正確；其有不正</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確或正確性有爭議者，應依個資法第十一條第一項、第二項及第五項規定辦理。</w:t>
      </w:r>
    </w:p>
    <w:p w:rsidR="005A724E" w:rsidRDefault="005A724E" w:rsidP="007B4FCB">
      <w:pPr>
        <w:ind w:left="545" w:hangingChars="202" w:hanging="545"/>
        <w:jc w:val="both"/>
        <w:rPr>
          <w:rFonts w:ascii="標楷體" w:eastAsia="標楷體" w:hAnsi="標楷體" w:cs="Times New Roman"/>
          <w:sz w:val="27"/>
          <w:szCs w:val="27"/>
        </w:rPr>
      </w:pPr>
      <w:r w:rsidRPr="007B35A1">
        <w:rPr>
          <w:rFonts w:ascii="標楷體" w:eastAsia="標楷體" w:hAnsi="標楷體" w:cs="標楷體" w:hint="eastAsia"/>
          <w:sz w:val="27"/>
          <w:szCs w:val="27"/>
        </w:rPr>
        <w:t>十、檢視所保有個人資料之特定目的是否消失，或期限是否屆滿；其特定目的消失或期限屆滿者，應依個資法第十一條第三項規定刪除、停止處理或利用。</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第八條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為維護所保有個人資料之安全，本公司應採取下列資料安全管理措施：</w:t>
      </w:r>
    </w:p>
    <w:p w:rsidR="005A724E" w:rsidRDefault="005A724E" w:rsidP="007B4FCB">
      <w:pPr>
        <w:ind w:left="572" w:hangingChars="212" w:hanging="572"/>
        <w:jc w:val="both"/>
        <w:rPr>
          <w:rFonts w:ascii="標楷體" w:eastAsia="標楷體" w:hAnsi="標楷體" w:cs="Times New Roman"/>
          <w:sz w:val="27"/>
          <w:szCs w:val="27"/>
        </w:rPr>
      </w:pPr>
      <w:r w:rsidRPr="007B35A1">
        <w:rPr>
          <w:rFonts w:ascii="標楷體" w:eastAsia="標楷體" w:hAnsi="標楷體" w:cs="標楷體" w:hint="eastAsia"/>
          <w:sz w:val="27"/>
          <w:szCs w:val="27"/>
        </w:rPr>
        <w:t>一、訂定各類設備或儲存媒體之使用規範，及報廢或轉作他用時，</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應採取防範資料洩漏之適當措施。</w:t>
      </w:r>
    </w:p>
    <w:p w:rsidR="005A724E" w:rsidRDefault="005A724E" w:rsidP="007B4FCB">
      <w:pPr>
        <w:ind w:left="545" w:hangingChars="202" w:hanging="545"/>
        <w:jc w:val="both"/>
        <w:rPr>
          <w:rFonts w:ascii="標楷體" w:eastAsia="標楷體" w:hAnsi="標楷體" w:cs="Times New Roman"/>
          <w:sz w:val="27"/>
          <w:szCs w:val="27"/>
        </w:rPr>
      </w:pPr>
      <w:r w:rsidRPr="007B35A1">
        <w:rPr>
          <w:rFonts w:ascii="標楷體" w:eastAsia="標楷體" w:hAnsi="標楷體" w:cs="標楷體" w:hint="eastAsia"/>
          <w:sz w:val="27"/>
          <w:szCs w:val="27"/>
        </w:rPr>
        <w:t>二、針對所保有之個人資料內容，有加密之需要者，於蒐集、處理或</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利用時，採取適當之加密措施。</w:t>
      </w:r>
    </w:p>
    <w:p w:rsidR="005A724E" w:rsidRPr="007B35A1" w:rsidRDefault="005A724E" w:rsidP="007B4FCB">
      <w:pPr>
        <w:ind w:left="545" w:hangingChars="202" w:hanging="545"/>
        <w:jc w:val="both"/>
        <w:rPr>
          <w:rFonts w:ascii="標楷體" w:eastAsia="標楷體" w:hAnsi="標楷體" w:cs="Times New Roman"/>
          <w:sz w:val="27"/>
          <w:szCs w:val="27"/>
        </w:rPr>
      </w:pPr>
      <w:r w:rsidRPr="007B35A1">
        <w:rPr>
          <w:rFonts w:ascii="標楷體" w:eastAsia="標楷體" w:hAnsi="標楷體" w:cs="標楷體" w:hint="eastAsia"/>
          <w:sz w:val="27"/>
          <w:szCs w:val="27"/>
        </w:rPr>
        <w:t>三、作業過程有備份個人資料之需要時，對備份資料予以適當保護。</w:t>
      </w:r>
    </w:p>
    <w:p w:rsidR="005A724E" w:rsidRPr="007B35A1"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第九條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本公司保有之個人資料存在於紙本、磁碟、磁帶、光碟片、微縮片、積體電路晶片、電腦、自動化機器設備或其他媒介物者，應採取下列設備安全管理措施：</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一、實施適宜之存取管制。</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二、訂定妥善保管媒介物之方式。</w:t>
      </w: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三、依媒介物之特性及其環境，建置適當之保護設備或技術。</w:t>
      </w:r>
    </w:p>
    <w:p w:rsidR="005A724E" w:rsidRPr="007B35A1"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第十條</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為維護所保有個人資料之安全，本公司應依執行業務之必要，設定相關人員接觸個人資料之權限及控管其接觸情形，並與員工約定保密義務。</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第四章</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個人資料之安全稽核、紀錄保存及持續改善機制</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第十一條</w:t>
      </w: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為確保</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之落實，本公司應依業務規模及特性，衡酌經營資源之合理分配，訂定適當之個人資料安全稽核機制，並應將相關機制列入內部控制及稽核項目。</w:t>
      </w:r>
    </w:p>
    <w:p w:rsidR="005A724E" w:rsidRPr="007B35A1"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第十二條</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本公司執行</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所定各種個人資料保護機制、程序及措施，應記錄其個人資料使用情況，留存軌跡資料或相關證據。</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本公司依個資法第十一條第三項規定刪除、停止處理或利用所保有之個人資料後，應留存下列紀錄：</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一、刪除、停止處理或利用之方法、時間。</w:t>
      </w:r>
    </w:p>
    <w:p w:rsidR="005A724E" w:rsidRDefault="005A724E" w:rsidP="007B4FCB">
      <w:pPr>
        <w:ind w:left="532" w:hangingChars="197" w:hanging="532"/>
        <w:jc w:val="both"/>
        <w:rPr>
          <w:rFonts w:ascii="標楷體" w:eastAsia="標楷體" w:hAnsi="標楷體" w:cs="Times New Roman"/>
          <w:sz w:val="27"/>
          <w:szCs w:val="27"/>
        </w:rPr>
      </w:pPr>
      <w:r w:rsidRPr="007B35A1">
        <w:rPr>
          <w:rFonts w:ascii="標楷體" w:eastAsia="標楷體" w:hAnsi="標楷體" w:cs="標楷體" w:hint="eastAsia"/>
          <w:sz w:val="27"/>
          <w:szCs w:val="27"/>
        </w:rPr>
        <w:t>二、將刪除、停止處理或利用之個人資料移轉其他對象者，其移轉之</w:t>
      </w:r>
      <w:r>
        <w:rPr>
          <w:rFonts w:ascii="標楷體" w:eastAsia="標楷體" w:hAnsi="標楷體" w:cs="標楷體"/>
          <w:sz w:val="27"/>
          <w:szCs w:val="27"/>
        </w:rPr>
        <w:t xml:space="preserve">     </w:t>
      </w:r>
      <w:r w:rsidRPr="007B35A1">
        <w:rPr>
          <w:rFonts w:ascii="標楷體" w:eastAsia="標楷體" w:hAnsi="標楷體" w:cs="標楷體" w:hint="eastAsia"/>
          <w:sz w:val="27"/>
          <w:szCs w:val="27"/>
        </w:rPr>
        <w:t>原因、對象、方法、時間，及該對象蒐集、處理或利用之合法依據。</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前二項之軌跡資料、相關證據及紀錄，應至少留存五年。但法令另有規定或契約另有約定者，不在此限。</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第十三條</w:t>
      </w:r>
      <w:r w:rsidRPr="007B35A1">
        <w:rPr>
          <w:rFonts w:ascii="標楷體" w:eastAsia="標楷體" w:hAnsi="標楷體" w:cs="Times New Roman"/>
          <w:sz w:val="27"/>
          <w:szCs w:val="27"/>
        </w:rPr>
        <w:tab/>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為持續改善個人資料安全維護，本公司應每年提出相關自我評估報告於個人資料保護管理小組討論下列事項：</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一、檢視、修訂</w:t>
      </w: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相關個人資料保護事項。</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二、針對評估報告中有違反法令之虞者，規劃、執行改善及預防措施。</w:t>
      </w: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前項自我評估報告授權由總經理核定之，但若有重大缺失事項，應陳報董事會。</w:t>
      </w:r>
    </w:p>
    <w:p w:rsidR="005A724E" w:rsidRDefault="005A724E" w:rsidP="00F77FD4">
      <w:pPr>
        <w:jc w:val="both"/>
        <w:rPr>
          <w:rFonts w:ascii="標楷體" w:eastAsia="標楷體" w:hAnsi="標楷體" w:cs="Times New Roman"/>
          <w:sz w:val="27"/>
          <w:szCs w:val="27"/>
        </w:rPr>
      </w:pPr>
    </w:p>
    <w:p w:rsidR="005A724E" w:rsidRPr="007B35A1"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第五章</w:t>
      </w:r>
      <w:r w:rsidRPr="007B35A1">
        <w:rPr>
          <w:rFonts w:ascii="標楷體" w:eastAsia="標楷體" w:hAnsi="標楷體" w:cs="標楷體"/>
          <w:sz w:val="27"/>
          <w:szCs w:val="27"/>
        </w:rPr>
        <w:t xml:space="preserve">  </w:t>
      </w:r>
      <w:r w:rsidRPr="007B35A1">
        <w:rPr>
          <w:rFonts w:ascii="標楷體" w:eastAsia="標楷體" w:hAnsi="標楷體" w:cs="標楷體" w:hint="eastAsia"/>
          <w:sz w:val="27"/>
          <w:szCs w:val="27"/>
        </w:rPr>
        <w:t>附則</w:t>
      </w:r>
    </w:p>
    <w:p w:rsidR="005A724E" w:rsidRDefault="005A724E" w:rsidP="00F77FD4">
      <w:pPr>
        <w:jc w:val="both"/>
        <w:rPr>
          <w:rFonts w:ascii="標楷體" w:eastAsia="標楷體" w:hAnsi="標楷體" w:cs="Times New Roman"/>
          <w:sz w:val="27"/>
          <w:szCs w:val="27"/>
        </w:rPr>
      </w:pPr>
    </w:p>
    <w:p w:rsidR="005A724E" w:rsidRDefault="005A724E" w:rsidP="00F77FD4">
      <w:pPr>
        <w:jc w:val="both"/>
        <w:rPr>
          <w:rFonts w:ascii="標楷體" w:eastAsia="標楷體" w:hAnsi="標楷體" w:cs="Times New Roman"/>
          <w:sz w:val="27"/>
          <w:szCs w:val="27"/>
        </w:rPr>
      </w:pPr>
      <w:r w:rsidRPr="007B35A1">
        <w:rPr>
          <w:rFonts w:ascii="標楷體" w:eastAsia="標楷體" w:hAnsi="標楷體" w:cs="標楷體" w:hint="eastAsia"/>
          <w:sz w:val="27"/>
          <w:szCs w:val="27"/>
        </w:rPr>
        <w:t>第十四條</w:t>
      </w:r>
    </w:p>
    <w:p w:rsidR="005A724E" w:rsidRDefault="005A724E" w:rsidP="00F77FD4">
      <w:pPr>
        <w:jc w:val="both"/>
        <w:rPr>
          <w:rFonts w:ascii="標楷體" w:eastAsia="標楷體" w:hAnsi="標楷體" w:cs="Times New Roman"/>
          <w:sz w:val="27"/>
          <w:szCs w:val="27"/>
        </w:rPr>
      </w:pPr>
      <w:r>
        <w:rPr>
          <w:rFonts w:ascii="標楷體" w:eastAsia="標楷體" w:hAnsi="標楷體" w:cs="標楷體" w:hint="eastAsia"/>
          <w:sz w:val="27"/>
          <w:szCs w:val="27"/>
        </w:rPr>
        <w:t>本計畫及處理方法</w:t>
      </w:r>
      <w:r w:rsidRPr="007B35A1">
        <w:rPr>
          <w:rFonts w:ascii="標楷體" w:eastAsia="標楷體" w:hAnsi="標楷體" w:cs="標楷體" w:hint="eastAsia"/>
          <w:sz w:val="27"/>
          <w:szCs w:val="27"/>
        </w:rPr>
        <w:t>經董事會通過後施行。</w:t>
      </w:r>
    </w:p>
    <w:p w:rsidR="005A724E" w:rsidRPr="007B35A1" w:rsidRDefault="005A724E" w:rsidP="00F77FD4">
      <w:pPr>
        <w:jc w:val="both"/>
        <w:rPr>
          <w:rFonts w:ascii="標楷體" w:eastAsia="標楷體" w:hAnsi="標楷體" w:cs="Times New Roman"/>
          <w:sz w:val="27"/>
          <w:szCs w:val="27"/>
        </w:rPr>
      </w:pPr>
    </w:p>
    <w:sectPr w:rsidR="005A724E" w:rsidRPr="007B35A1" w:rsidSect="002C6580">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24E" w:rsidRDefault="005A724E" w:rsidP="007B35A1">
      <w:pPr>
        <w:rPr>
          <w:rFonts w:cs="Times New Roman"/>
        </w:rPr>
      </w:pPr>
      <w:r>
        <w:rPr>
          <w:rFonts w:cs="Times New Roman"/>
        </w:rPr>
        <w:separator/>
      </w:r>
    </w:p>
  </w:endnote>
  <w:endnote w:type="continuationSeparator" w:id="0">
    <w:p w:rsidR="005A724E" w:rsidRDefault="005A724E" w:rsidP="007B35A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24E" w:rsidRDefault="005A724E" w:rsidP="00CF1964">
    <w:pPr>
      <w:pStyle w:val="a6"/>
      <w:framePr w:wrap="auto" w:vAnchor="text" w:hAnchor="margin" w:xAlign="center" w:y="1"/>
      <w:rPr>
        <w:rStyle w:val="aa"/>
        <w:rFonts w:cs="Times New Roman"/>
      </w:rPr>
    </w:pPr>
    <w:r>
      <w:rPr>
        <w:rStyle w:val="aa"/>
      </w:rPr>
      <w:fldChar w:fldCharType="begin"/>
    </w:r>
    <w:r>
      <w:rPr>
        <w:rStyle w:val="aa"/>
      </w:rPr>
      <w:instrText xml:space="preserve">PAGE  </w:instrText>
    </w:r>
    <w:r>
      <w:rPr>
        <w:rStyle w:val="aa"/>
      </w:rPr>
      <w:fldChar w:fldCharType="separate"/>
    </w:r>
    <w:r w:rsidR="007B4FCB">
      <w:rPr>
        <w:rStyle w:val="aa"/>
        <w:noProof/>
      </w:rPr>
      <w:t>1</w:t>
    </w:r>
    <w:r>
      <w:rPr>
        <w:rStyle w:val="aa"/>
      </w:rPr>
      <w:fldChar w:fldCharType="end"/>
    </w:r>
  </w:p>
  <w:p w:rsidR="005A724E" w:rsidRDefault="005A724E">
    <w:pPr>
      <w:pStyle w:val="a6"/>
      <w:rPr>
        <w:rFonts w:cs="Times New Roman"/>
      </w:rPr>
    </w:pPr>
  </w:p>
  <w:p w:rsidR="005A724E" w:rsidRDefault="005A724E">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24E" w:rsidRDefault="005A724E" w:rsidP="007B35A1">
      <w:pPr>
        <w:rPr>
          <w:rFonts w:cs="Times New Roman"/>
        </w:rPr>
      </w:pPr>
      <w:r>
        <w:rPr>
          <w:rFonts w:cs="Times New Roman"/>
        </w:rPr>
        <w:separator/>
      </w:r>
    </w:p>
  </w:footnote>
  <w:footnote w:type="continuationSeparator" w:id="0">
    <w:p w:rsidR="005A724E" w:rsidRDefault="005A724E" w:rsidP="007B35A1">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6B00"/>
    <w:multiLevelType w:val="hybridMultilevel"/>
    <w:tmpl w:val="74763DE4"/>
    <w:lvl w:ilvl="0" w:tplc="B1688D4C">
      <w:start w:val="1"/>
      <w:numFmt w:val="taiwaneseCountingThousand"/>
      <w:lvlText w:val="%1、"/>
      <w:lvlJc w:val="left"/>
      <w:pPr>
        <w:ind w:left="480" w:hanging="480"/>
      </w:pPr>
      <w:rPr>
        <w:rFonts w:hint="default"/>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90D2A5F"/>
    <w:multiLevelType w:val="hybridMultilevel"/>
    <w:tmpl w:val="B4E8AA72"/>
    <w:lvl w:ilvl="0" w:tplc="866EC1A8">
      <w:start w:val="1"/>
      <w:numFmt w:val="taiwaneseCountingThousand"/>
      <w:lvlText w:val="%1、"/>
      <w:lvlJc w:val="left"/>
      <w:pPr>
        <w:ind w:left="480" w:hanging="480"/>
      </w:pPr>
      <w:rPr>
        <w:rFonts w:hint="default"/>
        <w:b w:val="0"/>
        <w:bCs w:val="0"/>
        <w:color w:val="00000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DE833A8"/>
    <w:multiLevelType w:val="hybridMultilevel"/>
    <w:tmpl w:val="D52217F4"/>
    <w:lvl w:ilvl="0" w:tplc="D41A8E7A">
      <w:start w:val="1"/>
      <w:numFmt w:val="taiwaneseCountingThousand"/>
      <w:lvlText w:val="(%1)"/>
      <w:lvlJc w:val="left"/>
      <w:pPr>
        <w:ind w:left="763"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3E426BF"/>
    <w:multiLevelType w:val="hybridMultilevel"/>
    <w:tmpl w:val="62749C56"/>
    <w:lvl w:ilvl="0" w:tplc="4678F586">
      <w:start w:val="1"/>
      <w:numFmt w:val="taiwaneseCountingThousand"/>
      <w:lvlText w:val="%1、"/>
      <w:lvlJc w:val="left"/>
      <w:pPr>
        <w:ind w:left="480" w:hanging="480"/>
      </w:pPr>
      <w:rPr>
        <w:rFonts w:hint="default"/>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A286B8A"/>
    <w:multiLevelType w:val="hybridMultilevel"/>
    <w:tmpl w:val="C0483544"/>
    <w:lvl w:ilvl="0" w:tplc="DC542B04">
      <w:start w:val="2"/>
      <w:numFmt w:val="taiwaneseCountingThousand"/>
      <w:lvlText w:val="%1、"/>
      <w:lvlJc w:val="left"/>
      <w:pPr>
        <w:tabs>
          <w:tab w:val="num" w:pos="396"/>
        </w:tabs>
        <w:ind w:left="396" w:hanging="504"/>
      </w:pPr>
      <w:rPr>
        <w:rFonts w:hint="default"/>
      </w:rPr>
    </w:lvl>
    <w:lvl w:ilvl="1" w:tplc="04090019">
      <w:start w:val="1"/>
      <w:numFmt w:val="ideographTraditional"/>
      <w:lvlText w:val="%2、"/>
      <w:lvlJc w:val="left"/>
      <w:pPr>
        <w:tabs>
          <w:tab w:val="num" w:pos="852"/>
        </w:tabs>
        <w:ind w:left="852" w:hanging="480"/>
      </w:pPr>
    </w:lvl>
    <w:lvl w:ilvl="2" w:tplc="0409001B">
      <w:start w:val="1"/>
      <w:numFmt w:val="lowerRoman"/>
      <w:lvlText w:val="%3."/>
      <w:lvlJc w:val="right"/>
      <w:pPr>
        <w:tabs>
          <w:tab w:val="num" w:pos="1332"/>
        </w:tabs>
        <w:ind w:left="1332" w:hanging="480"/>
      </w:pPr>
    </w:lvl>
    <w:lvl w:ilvl="3" w:tplc="0409000F">
      <w:start w:val="1"/>
      <w:numFmt w:val="decimal"/>
      <w:lvlText w:val="%4."/>
      <w:lvlJc w:val="left"/>
      <w:pPr>
        <w:tabs>
          <w:tab w:val="num" w:pos="1812"/>
        </w:tabs>
        <w:ind w:left="1812" w:hanging="480"/>
      </w:pPr>
    </w:lvl>
    <w:lvl w:ilvl="4" w:tplc="04090019">
      <w:start w:val="1"/>
      <w:numFmt w:val="ideographTraditional"/>
      <w:lvlText w:val="%5、"/>
      <w:lvlJc w:val="left"/>
      <w:pPr>
        <w:tabs>
          <w:tab w:val="num" w:pos="2292"/>
        </w:tabs>
        <w:ind w:left="2292" w:hanging="480"/>
      </w:pPr>
    </w:lvl>
    <w:lvl w:ilvl="5" w:tplc="0409001B">
      <w:start w:val="1"/>
      <w:numFmt w:val="lowerRoman"/>
      <w:lvlText w:val="%6."/>
      <w:lvlJc w:val="right"/>
      <w:pPr>
        <w:tabs>
          <w:tab w:val="num" w:pos="2772"/>
        </w:tabs>
        <w:ind w:left="2772" w:hanging="480"/>
      </w:pPr>
    </w:lvl>
    <w:lvl w:ilvl="6" w:tplc="0409000F">
      <w:start w:val="1"/>
      <w:numFmt w:val="decimal"/>
      <w:lvlText w:val="%7."/>
      <w:lvlJc w:val="left"/>
      <w:pPr>
        <w:tabs>
          <w:tab w:val="num" w:pos="3252"/>
        </w:tabs>
        <w:ind w:left="3252" w:hanging="480"/>
      </w:pPr>
    </w:lvl>
    <w:lvl w:ilvl="7" w:tplc="04090019">
      <w:start w:val="1"/>
      <w:numFmt w:val="ideographTraditional"/>
      <w:lvlText w:val="%8、"/>
      <w:lvlJc w:val="left"/>
      <w:pPr>
        <w:tabs>
          <w:tab w:val="num" w:pos="3732"/>
        </w:tabs>
        <w:ind w:left="3732" w:hanging="480"/>
      </w:pPr>
    </w:lvl>
    <w:lvl w:ilvl="8" w:tplc="0409001B">
      <w:start w:val="1"/>
      <w:numFmt w:val="lowerRoman"/>
      <w:lvlText w:val="%9."/>
      <w:lvlJc w:val="right"/>
      <w:pPr>
        <w:tabs>
          <w:tab w:val="num" w:pos="4212"/>
        </w:tabs>
        <w:ind w:left="4212" w:hanging="480"/>
      </w:pPr>
    </w:lvl>
  </w:abstractNum>
  <w:abstractNum w:abstractNumId="5">
    <w:nsid w:val="71576FFA"/>
    <w:multiLevelType w:val="hybridMultilevel"/>
    <w:tmpl w:val="31029D5E"/>
    <w:lvl w:ilvl="0" w:tplc="A372D13E">
      <w:start w:val="1"/>
      <w:numFmt w:val="taiwaneseCountingThousand"/>
      <w:lvlText w:val="%1、"/>
      <w:lvlJc w:val="left"/>
      <w:pPr>
        <w:ind w:left="480" w:hanging="480"/>
      </w:pPr>
      <w:rPr>
        <w:rFonts w:hint="default"/>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644F"/>
    <w:rsid w:val="000373FF"/>
    <w:rsid w:val="00064161"/>
    <w:rsid w:val="00085696"/>
    <w:rsid w:val="00145028"/>
    <w:rsid w:val="00174619"/>
    <w:rsid w:val="0025329A"/>
    <w:rsid w:val="002B18B7"/>
    <w:rsid w:val="002C4056"/>
    <w:rsid w:val="002C6580"/>
    <w:rsid w:val="00326B56"/>
    <w:rsid w:val="003E6322"/>
    <w:rsid w:val="00420304"/>
    <w:rsid w:val="00430526"/>
    <w:rsid w:val="0048594B"/>
    <w:rsid w:val="0051033D"/>
    <w:rsid w:val="0051644F"/>
    <w:rsid w:val="00534E02"/>
    <w:rsid w:val="00536286"/>
    <w:rsid w:val="00554EEE"/>
    <w:rsid w:val="0058283F"/>
    <w:rsid w:val="00594C42"/>
    <w:rsid w:val="005A724E"/>
    <w:rsid w:val="00634628"/>
    <w:rsid w:val="0065189D"/>
    <w:rsid w:val="00651BE5"/>
    <w:rsid w:val="00651F9C"/>
    <w:rsid w:val="00661624"/>
    <w:rsid w:val="006768E3"/>
    <w:rsid w:val="00752410"/>
    <w:rsid w:val="0078076C"/>
    <w:rsid w:val="007B35A1"/>
    <w:rsid w:val="007B4FCB"/>
    <w:rsid w:val="008069A4"/>
    <w:rsid w:val="00806D7C"/>
    <w:rsid w:val="00834FCA"/>
    <w:rsid w:val="009C71C9"/>
    <w:rsid w:val="00A03112"/>
    <w:rsid w:val="00A2397B"/>
    <w:rsid w:val="00A368E6"/>
    <w:rsid w:val="00A64DEA"/>
    <w:rsid w:val="00AA2885"/>
    <w:rsid w:val="00AE0F6C"/>
    <w:rsid w:val="00AF2683"/>
    <w:rsid w:val="00B1535E"/>
    <w:rsid w:val="00B863F1"/>
    <w:rsid w:val="00B9287B"/>
    <w:rsid w:val="00BD58DF"/>
    <w:rsid w:val="00BD5CDD"/>
    <w:rsid w:val="00C12E8E"/>
    <w:rsid w:val="00C13E2B"/>
    <w:rsid w:val="00C84DA2"/>
    <w:rsid w:val="00CB21A4"/>
    <w:rsid w:val="00CC59A9"/>
    <w:rsid w:val="00CF1964"/>
    <w:rsid w:val="00D5170D"/>
    <w:rsid w:val="00D56114"/>
    <w:rsid w:val="00E15BDA"/>
    <w:rsid w:val="00E907BB"/>
    <w:rsid w:val="00F04BE9"/>
    <w:rsid w:val="00F170E9"/>
    <w:rsid w:val="00F60AA9"/>
    <w:rsid w:val="00F64DEA"/>
    <w:rsid w:val="00F77FD4"/>
    <w:rsid w:val="00FD5A09"/>
    <w:rsid w:val="00FD63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580"/>
    <w:pPr>
      <w:widowControl w:val="0"/>
    </w:pPr>
    <w:rPr>
      <w:rFonts w:cs="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B35A1"/>
    <w:pPr>
      <w:ind w:leftChars="200" w:left="480"/>
    </w:pPr>
  </w:style>
  <w:style w:type="paragraph" w:styleId="a4">
    <w:name w:val="header"/>
    <w:basedOn w:val="a"/>
    <w:link w:val="a5"/>
    <w:uiPriority w:val="99"/>
    <w:rsid w:val="007B35A1"/>
    <w:pPr>
      <w:tabs>
        <w:tab w:val="center" w:pos="4153"/>
        <w:tab w:val="right" w:pos="8306"/>
      </w:tabs>
      <w:snapToGrid w:val="0"/>
    </w:pPr>
    <w:rPr>
      <w:kern w:val="0"/>
      <w:sz w:val="20"/>
      <w:szCs w:val="20"/>
    </w:rPr>
  </w:style>
  <w:style w:type="character" w:customStyle="1" w:styleId="a5">
    <w:name w:val="頁首 字元"/>
    <w:basedOn w:val="a0"/>
    <w:link w:val="a4"/>
    <w:uiPriority w:val="99"/>
    <w:locked/>
    <w:rsid w:val="007B35A1"/>
    <w:rPr>
      <w:sz w:val="20"/>
      <w:szCs w:val="20"/>
    </w:rPr>
  </w:style>
  <w:style w:type="paragraph" w:styleId="a6">
    <w:name w:val="footer"/>
    <w:basedOn w:val="a"/>
    <w:link w:val="a7"/>
    <w:uiPriority w:val="99"/>
    <w:rsid w:val="007B35A1"/>
    <w:pPr>
      <w:tabs>
        <w:tab w:val="center" w:pos="4153"/>
        <w:tab w:val="right" w:pos="8306"/>
      </w:tabs>
      <w:snapToGrid w:val="0"/>
    </w:pPr>
    <w:rPr>
      <w:kern w:val="0"/>
      <w:sz w:val="20"/>
      <w:szCs w:val="20"/>
    </w:rPr>
  </w:style>
  <w:style w:type="character" w:customStyle="1" w:styleId="a7">
    <w:name w:val="頁尾 字元"/>
    <w:basedOn w:val="a0"/>
    <w:link w:val="a6"/>
    <w:uiPriority w:val="99"/>
    <w:locked/>
    <w:rsid w:val="007B35A1"/>
    <w:rPr>
      <w:sz w:val="20"/>
      <w:szCs w:val="20"/>
    </w:rPr>
  </w:style>
  <w:style w:type="paragraph" w:styleId="a8">
    <w:name w:val="Balloon Text"/>
    <w:basedOn w:val="a"/>
    <w:link w:val="a9"/>
    <w:uiPriority w:val="99"/>
    <w:semiHidden/>
    <w:rsid w:val="003E6322"/>
    <w:rPr>
      <w:rFonts w:ascii="Cambria" w:hAnsi="Cambria" w:cs="Cambria"/>
      <w:kern w:val="0"/>
      <w:sz w:val="2"/>
      <w:szCs w:val="2"/>
    </w:rPr>
  </w:style>
  <w:style w:type="character" w:customStyle="1" w:styleId="a9">
    <w:name w:val="註解方塊文字 字元"/>
    <w:basedOn w:val="a0"/>
    <w:link w:val="a8"/>
    <w:uiPriority w:val="99"/>
    <w:semiHidden/>
    <w:locked/>
    <w:rsid w:val="00CC59A9"/>
    <w:rPr>
      <w:rFonts w:ascii="Cambria" w:eastAsia="新細明體" w:hAnsi="Cambria" w:cs="Cambria"/>
      <w:sz w:val="2"/>
      <w:szCs w:val="2"/>
    </w:rPr>
  </w:style>
  <w:style w:type="character" w:styleId="aa">
    <w:name w:val="page number"/>
    <w:basedOn w:val="a0"/>
    <w:uiPriority w:val="99"/>
    <w:rsid w:val="003E6322"/>
  </w:style>
  <w:style w:type="paragraph" w:customStyle="1" w:styleId="041-">
    <w:name w:val="041-"/>
    <w:basedOn w:val="a"/>
    <w:uiPriority w:val="99"/>
    <w:rsid w:val="008069A4"/>
    <w:pPr>
      <w:widowControl/>
      <w:spacing w:before="100" w:beforeAutospacing="1" w:after="100" w:afterAutospacing="1"/>
    </w:pPr>
    <w:rPr>
      <w:rFonts w:ascii="新細明體" w:hAnsi="新細明體" w:cs="新細明體"/>
      <w:kern w:val="0"/>
    </w:rPr>
  </w:style>
  <w:style w:type="paragraph" w:customStyle="1" w:styleId="042-">
    <w:name w:val="042-"/>
    <w:basedOn w:val="a"/>
    <w:uiPriority w:val="99"/>
    <w:rsid w:val="008069A4"/>
    <w:pPr>
      <w:widowControl/>
      <w:spacing w:before="100" w:beforeAutospacing="1" w:after="100" w:afterAutospacing="1"/>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374</Words>
  <Characters>2134</Characters>
  <Application>Microsoft Office Word</Application>
  <DocSecurity>0</DocSecurity>
  <Lines>17</Lines>
  <Paragraphs>5</Paragraphs>
  <ScaleCrop>false</ScaleCrop>
  <Company>comp</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合作金庫資產管理股份有限公司個人資料檔案安全維護計劃及業務終止後個人資料處理方法草案</dc:title>
  <dc:subject/>
  <dc:creator>Haotan</dc:creator>
  <cp:keywords/>
  <dc:description/>
  <cp:lastModifiedBy>user</cp:lastModifiedBy>
  <cp:revision>4</cp:revision>
  <cp:lastPrinted>2014-04-11T07:41:00Z</cp:lastPrinted>
  <dcterms:created xsi:type="dcterms:W3CDTF">2015-03-01T15:24:00Z</dcterms:created>
  <dcterms:modified xsi:type="dcterms:W3CDTF">2016-01-27T02:25:00Z</dcterms:modified>
</cp:coreProperties>
</file>